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jc w:val="center"/>
        <w:outlineLvl w:val="0"/>
        <w:rPr>
          <w:rFonts w:ascii="方正公文小标宋" w:hAnsi="方正公文小标宋" w:eastAsia="方正公文小标宋" w:cs="方正公文小标宋"/>
          <w:spacing w:val="-11"/>
          <w:sz w:val="52"/>
          <w:szCs w:val="52"/>
        </w:rPr>
      </w:pPr>
    </w:p>
    <w:p>
      <w:pPr>
        <w:widowControl w:val="0"/>
        <w:jc w:val="center"/>
        <w:outlineLvl w:val="0"/>
        <w:rPr>
          <w:rFonts w:ascii="方正公文小标宋" w:hAnsi="方正公文小标宋" w:eastAsia="方正公文小标宋" w:cs="方正公文小标宋"/>
          <w:spacing w:val="-11"/>
          <w:sz w:val="52"/>
          <w:szCs w:val="52"/>
        </w:rPr>
      </w:pPr>
    </w:p>
    <w:p>
      <w:pPr>
        <w:widowControl w:val="0"/>
        <w:jc w:val="center"/>
        <w:outlineLvl w:val="0"/>
        <w:rPr>
          <w:rFonts w:hint="eastAsia" w:ascii="方正小标宋简体" w:hAnsi="方正公文小标宋" w:eastAsia="方正小标宋简体" w:cs="方正公文小标宋"/>
          <w:spacing w:val="-11"/>
          <w:sz w:val="52"/>
          <w:szCs w:val="52"/>
        </w:rPr>
      </w:pPr>
      <w:bookmarkStart w:id="0" w:name="_Toc18029"/>
      <w:bookmarkStart w:id="1" w:name="_Toc27608"/>
      <w:r>
        <w:rPr>
          <w:rFonts w:hint="eastAsia" w:ascii="方正小标宋简体" w:hAnsi="方正公文小标宋" w:eastAsia="方正小标宋简体" w:cs="方正公文小标宋"/>
          <w:spacing w:val="-11"/>
          <w:sz w:val="52"/>
          <w:szCs w:val="52"/>
        </w:rPr>
        <w:t>天津市房屋建筑和市政基础设施工程施工招标评标办法</w:t>
      </w:r>
      <w:bookmarkEnd w:id="0"/>
      <w:bookmarkEnd w:id="1"/>
    </w:p>
    <w:p>
      <w:pPr>
        <w:pStyle w:val="2"/>
        <w:jc w:val="center"/>
        <w:rPr>
          <w:rFonts w:hint="eastAsia" w:ascii="方正小标宋简体" w:hAnsi="方正公文小标宋" w:eastAsia="方正小标宋简体" w:cs="方正公文小标宋"/>
          <w:spacing w:val="-11"/>
          <w:sz w:val="52"/>
          <w:szCs w:val="52"/>
        </w:rPr>
      </w:pPr>
      <w:r>
        <w:rPr>
          <w:rFonts w:hint="eastAsia" w:ascii="方正小标宋简体" w:hAnsi="方正公文小标宋" w:eastAsia="方正小标宋简体" w:cs="方正公文小标宋"/>
          <w:spacing w:val="-11"/>
          <w:sz w:val="52"/>
          <w:szCs w:val="52"/>
        </w:rPr>
        <w:t>(征求意见稿)</w:t>
      </w:r>
    </w:p>
    <w:p>
      <w:pPr>
        <w:pStyle w:val="2"/>
        <w:rPr>
          <w:rFonts w:ascii="方正公文小标宋" w:hAnsi="方正公文小标宋" w:eastAsia="方正公文小标宋" w:cs="方正公文小标宋"/>
          <w:sz w:val="72"/>
          <w:szCs w:val="7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p>
    <w:p>
      <w:pPr>
        <w:pStyle w:val="2"/>
        <w:jc w:val="center"/>
        <w:rPr>
          <w:rFonts w:ascii="方正公文小标宋" w:hAnsi="方正公文小标宋" w:eastAsia="方正公文小标宋" w:cs="方正公文小标宋"/>
          <w:sz w:val="32"/>
          <w:szCs w:val="32"/>
        </w:rPr>
      </w:pPr>
      <w:r>
        <w:rPr>
          <w:rFonts w:hint="eastAsia" w:ascii="方正公文小标宋" w:hAnsi="方正公文小标宋" w:eastAsia="方正公文小标宋" w:cs="方正公文小标宋"/>
          <w:sz w:val="32"/>
          <w:szCs w:val="32"/>
        </w:rPr>
        <w:t>天津市住房和城乡建设委员会</w:t>
      </w:r>
    </w:p>
    <w:p>
      <w:pPr>
        <w:pStyle w:val="3"/>
        <w:ind w:firstLine="0" w:firstLineChars="0"/>
        <w:jc w:val="center"/>
        <w:rPr>
          <w:rFonts w:hint="eastAsia" w:ascii="方正公文小标宋" w:hAnsi="方正公文小标宋" w:eastAsia="方正公文小标宋" w:cs="方正公文小标宋"/>
          <w:sz w:val="32"/>
          <w:szCs w:val="32"/>
        </w:rPr>
      </w:pPr>
      <w:r>
        <w:rPr>
          <w:rFonts w:hint="eastAsia" w:ascii="方正公文小标宋" w:hAnsi="方正公文小标宋" w:eastAsia="方正公文小标宋" w:cs="方正公文小标宋"/>
          <w:sz w:val="32"/>
          <w:szCs w:val="32"/>
        </w:rPr>
        <w:t>2024年</w:t>
      </w:r>
      <w:r>
        <w:rPr>
          <w:rFonts w:hint="eastAsia" w:ascii="Cambria" w:hAnsi="Cambria" w:eastAsia="方正公文小标宋" w:cs="方正公文小标宋"/>
          <w:sz w:val="32"/>
          <w:szCs w:val="32"/>
        </w:rPr>
        <w:t>6</w:t>
      </w:r>
      <w:r>
        <w:rPr>
          <w:rFonts w:hint="eastAsia" w:ascii="方正公文小标宋" w:hAnsi="方正公文小标宋" w:eastAsia="方正公文小标宋" w:cs="方正公文小标宋"/>
          <w:sz w:val="32"/>
          <w:szCs w:val="32"/>
        </w:rPr>
        <w:t>月</w:t>
      </w:r>
    </w:p>
    <w:p>
      <w:pPr>
        <w:pStyle w:val="2"/>
      </w:pPr>
    </w:p>
    <w:p>
      <w:pPr>
        <w:spacing w:line="540" w:lineRule="exact"/>
      </w:pPr>
    </w:p>
    <w:p>
      <w:pPr>
        <w:spacing w:line="540" w:lineRule="exact"/>
        <w:rPr>
          <w:rFonts w:ascii="方正公文小标宋" w:hAnsi="方正公文小标宋" w:eastAsia="方正公文小标宋" w:cs="方正公文小标宋"/>
          <w:sz w:val="44"/>
          <w:szCs w:val="44"/>
        </w:rPr>
      </w:pPr>
      <w:bookmarkStart w:id="2" w:name="_Toc27513"/>
      <w:bookmarkStart w:id="3" w:name="_Toc19654"/>
    </w:p>
    <w:p>
      <w:pPr>
        <w:widowControl w:val="0"/>
        <w:spacing w:line="540" w:lineRule="exact"/>
        <w:jc w:val="center"/>
        <w:outlineLvl w:val="0"/>
        <w:rPr>
          <w:rFonts w:ascii="方正公文小标宋" w:hAnsi="方正公文小标宋" w:eastAsia="方正公文小标宋" w:cs="方正公文小标宋"/>
          <w:sz w:val="44"/>
          <w:szCs w:val="44"/>
        </w:rPr>
      </w:pPr>
      <w:bookmarkStart w:id="4" w:name="_Toc19393"/>
      <w:bookmarkStart w:id="5" w:name="_Toc13995"/>
      <w:r>
        <w:rPr>
          <w:rFonts w:hint="eastAsia" w:ascii="方正公文小标宋" w:hAnsi="方正公文小标宋" w:eastAsia="方正公文小标宋" w:cs="方正公文小标宋"/>
          <w:sz w:val="44"/>
          <w:szCs w:val="44"/>
        </w:rPr>
        <w:t>天津市房屋建筑和市政基础设施工程</w:t>
      </w:r>
      <w:bookmarkEnd w:id="2"/>
      <w:bookmarkEnd w:id="3"/>
      <w:bookmarkEnd w:id="4"/>
      <w:bookmarkEnd w:id="5"/>
    </w:p>
    <w:p>
      <w:pPr>
        <w:widowControl w:val="0"/>
        <w:spacing w:line="540" w:lineRule="exact"/>
        <w:jc w:val="center"/>
        <w:outlineLvl w:val="0"/>
        <w:rPr>
          <w:rFonts w:ascii="方正公文小标宋" w:hAnsi="方正公文小标宋" w:eastAsia="方正公文小标宋" w:cs="方正公文小标宋"/>
          <w:sz w:val="32"/>
          <w:szCs w:val="32"/>
        </w:rPr>
      </w:pPr>
      <w:bookmarkStart w:id="6" w:name="_Toc10384"/>
      <w:bookmarkStart w:id="7" w:name="_Toc29379"/>
      <w:bookmarkStart w:id="8" w:name="_Toc60"/>
      <w:bookmarkStart w:id="9" w:name="_Toc23820"/>
      <w:r>
        <w:rPr>
          <w:rFonts w:hint="eastAsia" w:ascii="方正公文小标宋" w:hAnsi="方正公文小标宋" w:eastAsia="方正公文小标宋" w:cs="方正公文小标宋"/>
          <w:sz w:val="44"/>
          <w:szCs w:val="44"/>
        </w:rPr>
        <w:t>施工招标评标办法</w:t>
      </w:r>
      <w:bookmarkEnd w:id="6"/>
      <w:bookmarkEnd w:id="7"/>
      <w:bookmarkEnd w:id="8"/>
      <w:bookmarkEnd w:id="9"/>
    </w:p>
    <w:p>
      <w:pPr>
        <w:pStyle w:val="2"/>
        <w:spacing w:line="540" w:lineRule="exact"/>
        <w:jc w:val="center"/>
      </w:pPr>
      <w:r>
        <w:rPr>
          <w:rFonts w:hint="eastAsia" w:ascii="方正公文小标宋" w:hAnsi="方正公文小标宋" w:eastAsia="方正公文小标宋" w:cs="方正公文小标宋"/>
          <w:sz w:val="32"/>
          <w:szCs w:val="32"/>
        </w:rPr>
        <w:t>(征求意见稿</w:t>
      </w:r>
      <w:bookmarkStart w:id="114" w:name="_GoBack"/>
      <w:bookmarkEnd w:id="114"/>
      <w:r>
        <w:rPr>
          <w:rFonts w:hint="eastAsia" w:ascii="方正公文小标宋" w:hAnsi="方正公文小标宋" w:eastAsia="方正公文小标宋" w:cs="方正公文小标宋"/>
          <w:sz w:val="32"/>
          <w:szCs w:val="32"/>
        </w:rPr>
        <w:t>)</w:t>
      </w:r>
    </w:p>
    <w:p>
      <w:pPr>
        <w:pStyle w:val="4"/>
        <w:spacing w:line="540" w:lineRule="exact"/>
        <w:jc w:val="center"/>
        <w:rPr>
          <w:rFonts w:ascii="黑体" w:hAnsi="黑体" w:eastAsia="黑体" w:cs="黑体"/>
          <w:b w:val="0"/>
          <w:bCs/>
          <w:sz w:val="32"/>
          <w:szCs w:val="32"/>
        </w:rPr>
      </w:pPr>
      <w:bookmarkStart w:id="10" w:name="_Toc20793"/>
      <w:bookmarkStart w:id="11" w:name="_Toc29079"/>
      <w:r>
        <w:rPr>
          <w:rFonts w:hint="eastAsia" w:ascii="黑体" w:hAnsi="黑体" w:eastAsia="黑体" w:cs="黑体"/>
          <w:b w:val="0"/>
          <w:bCs/>
          <w:sz w:val="32"/>
          <w:szCs w:val="32"/>
        </w:rPr>
        <w:t>第一章总则</w:t>
      </w:r>
      <w:bookmarkEnd w:id="10"/>
      <w:bookmarkEnd w:id="11"/>
    </w:p>
    <w:p>
      <w:pPr>
        <w:adjustRightInd w:val="0"/>
        <w:snapToGrid w:val="0"/>
        <w:spacing w:line="520" w:lineRule="exact"/>
        <w:ind w:firstLine="643" w:firstLineChars="200"/>
        <w:jc w:val="both"/>
        <w:rPr>
          <w:rFonts w:ascii="仿宋_GB2312" w:hAnsi="Microsoft YaHei UI" w:eastAsia="仿宋_GB2312" w:cs="宋体"/>
          <w:sz w:val="32"/>
          <w:szCs w:val="32"/>
        </w:rPr>
      </w:pPr>
      <w:bookmarkStart w:id="12" w:name="_Toc6753"/>
      <w:bookmarkStart w:id="13" w:name="_Toc1203"/>
      <w:r>
        <w:rPr>
          <w:rStyle w:val="16"/>
          <w:rFonts w:hint="eastAsia"/>
          <w:szCs w:val="32"/>
        </w:rPr>
        <w:t>第一条</w:t>
      </w:r>
      <w:r>
        <w:rPr>
          <w:rStyle w:val="16"/>
          <w:szCs w:val="32"/>
        </w:rPr>
        <w:t>【</w:t>
      </w:r>
      <w:r>
        <w:rPr>
          <w:rStyle w:val="16"/>
          <w:rFonts w:hint="eastAsia"/>
          <w:szCs w:val="32"/>
        </w:rPr>
        <w:t>法律依据</w:t>
      </w:r>
      <w:r>
        <w:rPr>
          <w:rStyle w:val="16"/>
          <w:szCs w:val="32"/>
        </w:rPr>
        <w:t>】</w:t>
      </w:r>
      <w:bookmarkEnd w:id="12"/>
      <w:bookmarkEnd w:id="13"/>
      <w:r>
        <w:rPr>
          <w:rFonts w:hint="eastAsia" w:ascii="仿宋_GB2312" w:hAnsi="Microsoft YaHei UI" w:eastAsia="仿宋_GB2312" w:cs="宋体"/>
          <w:sz w:val="32"/>
          <w:szCs w:val="32"/>
        </w:rPr>
        <w:t>为进一步规范本市房屋建筑和市政基础设施工程（以下简称“房建市政工程”）施工招标评标活动，维护招投标当事人的合法权益，根据《中华人民共和国招标投标法》《中华人民共和国招标投标法实施条例》《国务院办公厅关于创新完善体制机制推动招标投标市场规范健康发展的意见》（国办发〔2024〕21号）和《国家发展改革委等部门关于严格执行招标投标法规制度进一步规范招标投标主体行为的若干意见》（发改法规规〔2022〕1117号）等有关规定，结合本市实际，制定本办法。</w:t>
      </w:r>
    </w:p>
    <w:p>
      <w:pPr>
        <w:shd w:val="clear" w:color="auto" w:fill="FFFFFF"/>
        <w:adjustRightInd w:val="0"/>
        <w:snapToGrid w:val="0"/>
        <w:spacing w:line="520" w:lineRule="exact"/>
        <w:ind w:firstLine="643" w:firstLineChars="200"/>
        <w:jc w:val="both"/>
        <w:rPr>
          <w:rFonts w:ascii="仿宋_GB2312" w:hAnsi="Microsoft YaHei UI" w:eastAsia="仿宋_GB2312" w:cs="宋体"/>
          <w:sz w:val="32"/>
          <w:szCs w:val="32"/>
        </w:rPr>
      </w:pPr>
      <w:bookmarkStart w:id="14" w:name="_Toc28082"/>
      <w:bookmarkStart w:id="15" w:name="_Toc24771"/>
      <w:r>
        <w:rPr>
          <w:rStyle w:val="16"/>
          <w:rFonts w:hint="eastAsia" w:cstheme="minorBidi"/>
          <w:szCs w:val="32"/>
        </w:rPr>
        <w:t>第二条【适用范围】</w:t>
      </w:r>
      <w:bookmarkEnd w:id="14"/>
      <w:bookmarkEnd w:id="15"/>
      <w:r>
        <w:rPr>
          <w:rFonts w:hint="eastAsia" w:ascii="仿宋_GB2312" w:hAnsi="Microsoft YaHei UI" w:eastAsia="仿宋_GB2312" w:cs="宋体"/>
          <w:sz w:val="32"/>
          <w:szCs w:val="32"/>
        </w:rPr>
        <w:t>凡本市行政区域内，依法必须进行施工招标的</w:t>
      </w:r>
      <w:r>
        <w:rPr>
          <w:rFonts w:hint="eastAsia" w:ascii="仿宋_GB2312" w:hAnsi="仿宋_GB2312" w:eastAsia="仿宋_GB2312" w:cs="仿宋_GB2312"/>
          <w:sz w:val="32"/>
          <w:szCs w:val="32"/>
        </w:rPr>
        <w:t>房建市政工程</w:t>
      </w:r>
      <w:r>
        <w:rPr>
          <w:rFonts w:hint="eastAsia" w:ascii="仿宋_GB2312" w:hAnsi="Microsoft YaHei UI" w:eastAsia="仿宋_GB2312" w:cs="宋体"/>
          <w:sz w:val="32"/>
          <w:szCs w:val="32"/>
        </w:rPr>
        <w:t>的评标活动，适用本办法。</w:t>
      </w:r>
    </w:p>
    <w:p>
      <w:pPr>
        <w:shd w:val="clear" w:color="auto" w:fill="FFFFFF"/>
        <w:adjustRightInd w:val="0"/>
        <w:snapToGrid w:val="0"/>
        <w:spacing w:line="520" w:lineRule="exact"/>
        <w:ind w:firstLine="632"/>
        <w:jc w:val="both"/>
        <w:outlineLvl w:val="1"/>
        <w:rPr>
          <w:rFonts w:ascii="仿宋_GB2312" w:hAnsi="Microsoft YaHei UI" w:eastAsia="仿宋_GB2312" w:cs="宋体"/>
          <w:sz w:val="32"/>
          <w:szCs w:val="32"/>
        </w:rPr>
      </w:pPr>
      <w:bookmarkStart w:id="16" w:name="_Toc12168"/>
      <w:bookmarkStart w:id="17" w:name="_Toc18407"/>
      <w:r>
        <w:rPr>
          <w:rStyle w:val="16"/>
          <w:rFonts w:hint="eastAsia" w:cstheme="minorBidi"/>
          <w:szCs w:val="32"/>
        </w:rPr>
        <w:t>第三条【制定原则】</w:t>
      </w:r>
      <w:bookmarkEnd w:id="16"/>
      <w:r>
        <w:rPr>
          <w:rFonts w:hint="eastAsia" w:ascii="仿宋_GB2312" w:hAnsi="Microsoft YaHei UI" w:eastAsia="仿宋_GB2312" w:cs="宋体"/>
          <w:sz w:val="32"/>
          <w:szCs w:val="32"/>
        </w:rPr>
        <w:t>评标活动遵循公平、公正、科学、择优的原则</w:t>
      </w:r>
      <w:bookmarkEnd w:id="17"/>
      <w:r>
        <w:rPr>
          <w:rFonts w:hint="eastAsia" w:ascii="仿宋_GB2312" w:hAnsi="Microsoft YaHei UI" w:eastAsia="仿宋_GB2312" w:cs="宋体"/>
          <w:sz w:val="32"/>
          <w:szCs w:val="32"/>
        </w:rPr>
        <w:t>，任何单位和个人不得非法干预或者影响评标过程和结果。</w:t>
      </w:r>
    </w:p>
    <w:p>
      <w:pPr>
        <w:shd w:val="clear" w:color="auto" w:fill="FFFFFF"/>
        <w:adjustRightInd w:val="0"/>
        <w:snapToGrid w:val="0"/>
        <w:spacing w:line="520" w:lineRule="exact"/>
        <w:ind w:firstLine="643" w:firstLineChars="200"/>
        <w:jc w:val="both"/>
        <w:rPr>
          <w:rFonts w:ascii="仿宋_GB2312" w:hAnsi="Microsoft YaHei UI" w:eastAsia="仿宋_GB2312" w:cs="宋体"/>
          <w:sz w:val="32"/>
          <w:szCs w:val="32"/>
        </w:rPr>
      </w:pPr>
      <w:bookmarkStart w:id="18" w:name="_Toc17730"/>
      <w:bookmarkStart w:id="19" w:name="_Toc1806"/>
      <w:r>
        <w:rPr>
          <w:rStyle w:val="16"/>
          <w:rFonts w:hint="eastAsia" w:cstheme="minorBidi"/>
          <w:szCs w:val="32"/>
        </w:rPr>
        <w:t>第四条【监督分工】</w:t>
      </w:r>
      <w:bookmarkEnd w:id="18"/>
      <w:bookmarkEnd w:id="19"/>
      <w:r>
        <w:rPr>
          <w:rFonts w:hint="eastAsia" w:ascii="仿宋_GB2312" w:hAnsi="Microsoft YaHei UI" w:eastAsia="仿宋_GB2312" w:cs="宋体"/>
          <w:sz w:val="32"/>
          <w:szCs w:val="32"/>
        </w:rPr>
        <w:t>市住房城乡建设委负责全市房建市政工程评标活动的监督管理工作，市建筑市场服务中心具体负责房建市政工程评标活动监督管理的日常工作。区住房建设委负责本辖区内房建市政工程评标活动的监督管理工作。</w:t>
      </w:r>
    </w:p>
    <w:p>
      <w:pPr>
        <w:shd w:val="clear" w:color="auto" w:fill="FFFFFF"/>
        <w:adjustRightInd w:val="0"/>
        <w:snapToGrid w:val="0"/>
        <w:spacing w:line="520" w:lineRule="exact"/>
        <w:ind w:firstLine="643" w:firstLineChars="200"/>
        <w:jc w:val="both"/>
        <w:rPr>
          <w:rFonts w:ascii="仿宋_GB2312" w:hAnsi="宋体" w:eastAsia="仿宋_GB2312"/>
          <w:sz w:val="32"/>
          <w:szCs w:val="32"/>
        </w:rPr>
      </w:pPr>
      <w:bookmarkStart w:id="20" w:name="_Toc20467"/>
      <w:r>
        <w:rPr>
          <w:rStyle w:val="16"/>
          <w:rFonts w:hint="eastAsia" w:cstheme="minorBidi"/>
          <w:szCs w:val="32"/>
        </w:rPr>
        <w:t>第五条【评标方法及适用范围】</w:t>
      </w:r>
      <w:bookmarkEnd w:id="20"/>
      <w:r>
        <w:rPr>
          <w:rFonts w:hint="eastAsia" w:ascii="仿宋_GB2312" w:hAnsi="宋体" w:eastAsia="仿宋_GB2312"/>
          <w:sz w:val="32"/>
          <w:szCs w:val="32"/>
        </w:rPr>
        <w:t>评标方法包括综合评估法、经评审的最低投标价法或者法律法规允许的其他评标方法。</w:t>
      </w:r>
    </w:p>
    <w:p>
      <w:pPr>
        <w:shd w:val="clear" w:color="auto" w:fill="FFFFFF"/>
        <w:adjustRightInd w:val="0"/>
        <w:snapToGrid w:val="0"/>
        <w:spacing w:line="520" w:lineRule="exact"/>
        <w:ind w:firstLine="640" w:firstLineChars="200"/>
        <w:jc w:val="both"/>
        <w:rPr>
          <w:rFonts w:ascii="仿宋_GB2312" w:hAnsi="Microsoft YaHei UI" w:eastAsia="仿宋_GB2312" w:cs="宋体"/>
          <w:sz w:val="32"/>
          <w:szCs w:val="32"/>
        </w:rPr>
      </w:pPr>
      <w:r>
        <w:rPr>
          <w:rFonts w:hint="eastAsia" w:ascii="仿宋_GB2312" w:hAnsi="Microsoft YaHei UI" w:eastAsia="仿宋_GB2312" w:cs="宋体"/>
          <w:sz w:val="32"/>
          <w:szCs w:val="32"/>
        </w:rPr>
        <w:t>经评审的最低投标价法一般适用于具有通用技术、性能标准或者招标人对其技术、性能没有特殊要求的房建市政工程，施工单项合同估算价一般不超过3000万元。</w:t>
      </w:r>
    </w:p>
    <w:p>
      <w:pPr>
        <w:shd w:val="clear" w:color="auto" w:fill="FFFFFF"/>
        <w:adjustRightInd w:val="0"/>
        <w:snapToGrid w:val="0"/>
        <w:spacing w:line="520" w:lineRule="exact"/>
        <w:ind w:firstLine="632"/>
        <w:jc w:val="both"/>
        <w:rPr>
          <w:rFonts w:ascii="仿宋_GB2312" w:hAnsi="Microsoft YaHei UI" w:eastAsia="仿宋_GB2312" w:cs="宋体"/>
          <w:sz w:val="32"/>
          <w:szCs w:val="32"/>
        </w:rPr>
      </w:pPr>
      <w:r>
        <w:rPr>
          <w:rFonts w:hint="eastAsia" w:ascii="仿宋_GB2312" w:hAnsi="Microsoft YaHei UI" w:eastAsia="仿宋_GB2312" w:cs="宋体"/>
          <w:sz w:val="32"/>
          <w:szCs w:val="32"/>
        </w:rPr>
        <w:t>不宜采用经评审的最低投标价法的房建市政工程,一般应当采用综合评估法进行评审。</w:t>
      </w:r>
    </w:p>
    <w:p>
      <w:pPr>
        <w:shd w:val="clear" w:color="auto" w:fill="FFFFFF"/>
        <w:adjustRightInd w:val="0"/>
        <w:snapToGrid w:val="0"/>
        <w:spacing w:line="520" w:lineRule="exact"/>
        <w:ind w:firstLine="643" w:firstLineChars="200"/>
        <w:jc w:val="both"/>
        <w:rPr>
          <w:rFonts w:ascii="仿宋_GB2312" w:hAnsi="Microsoft YaHei UI" w:eastAsia="仿宋_GB2312" w:cs="宋体"/>
          <w:sz w:val="32"/>
          <w:szCs w:val="32"/>
        </w:rPr>
      </w:pPr>
      <w:bookmarkStart w:id="21" w:name="_Toc12010"/>
      <w:bookmarkStart w:id="22" w:name="_Toc29576"/>
      <w:r>
        <w:rPr>
          <w:rStyle w:val="16"/>
          <w:rFonts w:hint="eastAsia" w:cstheme="minorBidi"/>
          <w:szCs w:val="32"/>
        </w:rPr>
        <w:t>第六条【推行评定分离】</w:t>
      </w:r>
      <w:bookmarkEnd w:id="21"/>
      <w:bookmarkEnd w:id="22"/>
      <w:r>
        <w:rPr>
          <w:rFonts w:hint="eastAsia" w:ascii="仿宋_GB2312" w:hAnsi="Microsoft YaHei UI" w:eastAsia="仿宋_GB2312" w:cs="宋体"/>
          <w:sz w:val="32"/>
          <w:szCs w:val="32"/>
        </w:rPr>
        <w:t>本市在依法必须进行施工招标的房建市政工程评标活动中推行评定分离，即招标人从评标委员会推荐的中标候选人范围内自主研究确定中标人。施工单项合同估算价在3000万元以上的，招标人应当使用评定分离的方式确定中标人。</w:t>
      </w:r>
    </w:p>
    <w:p>
      <w:pPr>
        <w:pStyle w:val="2"/>
        <w:spacing w:line="520" w:lineRule="exact"/>
        <w:ind w:firstLine="640" w:firstLineChars="200"/>
        <w:jc w:val="both"/>
        <w:rPr>
          <w:rFonts w:ascii="仿宋_GB2312" w:hAnsi="Microsoft YaHei UI" w:eastAsia="仿宋_GB2312" w:cs="宋体"/>
          <w:sz w:val="32"/>
          <w:szCs w:val="32"/>
        </w:rPr>
      </w:pPr>
      <w:r>
        <w:rPr>
          <w:rFonts w:hint="eastAsia" w:ascii="仿宋_GB2312" w:hAnsi="Microsoft YaHei UI" w:eastAsia="仿宋_GB2312" w:cs="宋体"/>
          <w:sz w:val="32"/>
          <w:szCs w:val="32"/>
        </w:rPr>
        <w:t>采用评定分离方式的，应当采用综合评估法进行评审。</w:t>
      </w:r>
    </w:p>
    <w:p>
      <w:pPr>
        <w:pStyle w:val="4"/>
        <w:spacing w:line="540" w:lineRule="exact"/>
        <w:jc w:val="center"/>
        <w:rPr>
          <w:rFonts w:ascii="黑体" w:hAnsi="黑体" w:eastAsia="黑体" w:cs="黑体"/>
          <w:b w:val="0"/>
          <w:bCs/>
          <w:sz w:val="32"/>
          <w:szCs w:val="32"/>
        </w:rPr>
      </w:pPr>
      <w:bookmarkStart w:id="23" w:name="_Toc6653"/>
      <w:bookmarkStart w:id="24" w:name="_Toc1295"/>
      <w:r>
        <w:rPr>
          <w:rFonts w:hint="eastAsia" w:ascii="黑体" w:hAnsi="黑体" w:eastAsia="黑体" w:cs="黑体"/>
          <w:b w:val="0"/>
          <w:bCs/>
          <w:sz w:val="32"/>
          <w:szCs w:val="32"/>
        </w:rPr>
        <w:t>第二章评标委员会</w:t>
      </w:r>
      <w:bookmarkEnd w:id="23"/>
    </w:p>
    <w:p>
      <w:pPr>
        <w:shd w:val="clear" w:color="auto" w:fill="FFFFFF"/>
        <w:adjustRightInd w:val="0"/>
        <w:snapToGrid w:val="0"/>
        <w:spacing w:line="520" w:lineRule="exact"/>
        <w:ind w:firstLine="643" w:firstLineChars="200"/>
        <w:jc w:val="both"/>
        <w:rPr>
          <w:rFonts w:ascii="仿宋_GB2312" w:hAnsi="Arial" w:eastAsia="仿宋_GB2312" w:cs="Arial"/>
          <w:sz w:val="32"/>
          <w:szCs w:val="32"/>
        </w:rPr>
      </w:pPr>
      <w:bookmarkStart w:id="25" w:name="_Toc7794"/>
      <w:r>
        <w:rPr>
          <w:rStyle w:val="16"/>
          <w:rFonts w:hint="eastAsia" w:cstheme="minorBidi"/>
          <w:szCs w:val="32"/>
        </w:rPr>
        <w:t>第七条【评标委员会组建】</w:t>
      </w:r>
      <w:bookmarkEnd w:id="24"/>
      <w:bookmarkEnd w:id="25"/>
      <w:r>
        <w:rPr>
          <w:rFonts w:hint="eastAsia" w:ascii="仿宋_GB2312" w:hAnsi="Arial" w:eastAsia="仿宋_GB2312" w:cs="Arial"/>
          <w:sz w:val="32"/>
          <w:szCs w:val="32"/>
        </w:rPr>
        <w:t>评标由招标人依法组建的评标委员会负责。评标委员会成员的名单在中标结果确定前应当保密。</w:t>
      </w:r>
    </w:p>
    <w:p>
      <w:pPr>
        <w:shd w:val="clear" w:color="auto" w:fill="FFFFFF"/>
        <w:adjustRightInd w:val="0"/>
        <w:snapToGrid w:val="0"/>
        <w:spacing w:line="520" w:lineRule="exact"/>
        <w:ind w:firstLine="640" w:firstLineChars="200"/>
        <w:jc w:val="both"/>
        <w:rPr>
          <w:rFonts w:ascii="仿宋_GB2312" w:hAnsi="Arial" w:eastAsia="仿宋_GB2312" w:cs="Arial"/>
          <w:sz w:val="32"/>
          <w:szCs w:val="32"/>
        </w:rPr>
      </w:pPr>
      <w:r>
        <w:rPr>
          <w:rFonts w:hint="eastAsia" w:ascii="仿宋_GB2312" w:hAnsi="Arial" w:eastAsia="仿宋_GB2312" w:cs="Arial"/>
          <w:sz w:val="32"/>
          <w:szCs w:val="32"/>
        </w:rPr>
        <w:t>评标委员会由招标人代表和有关技术、经济等方面的专家组成，成员人数为五人以上的单数。其中技术、经济专家不得少于评标委员会成员总数的三分之二，应当从市住房城乡建设委组建的评标专家库随机抽取。</w:t>
      </w:r>
    </w:p>
    <w:p>
      <w:pPr>
        <w:shd w:val="clear" w:color="auto" w:fill="FFFFFF"/>
        <w:adjustRightInd w:val="0"/>
        <w:snapToGrid w:val="0"/>
        <w:spacing w:line="520" w:lineRule="exact"/>
        <w:ind w:firstLine="640" w:firstLineChars="200"/>
        <w:jc w:val="both"/>
        <w:rPr>
          <w:rFonts w:ascii="仿宋_GB2312" w:hAnsi="Arial" w:eastAsia="仿宋_GB2312" w:cs="Arial"/>
          <w:sz w:val="32"/>
          <w:szCs w:val="32"/>
        </w:rPr>
      </w:pPr>
      <w:r>
        <w:rPr>
          <w:rFonts w:hint="eastAsia" w:ascii="仿宋_GB2312" w:hAnsi="Arial" w:eastAsia="仿宋_GB2312" w:cs="Arial"/>
          <w:sz w:val="32"/>
          <w:szCs w:val="32"/>
        </w:rPr>
        <w:t>招标人应当选派本单位或上级主管单位的在职人员担任招标人代表；确实无法派出的，应当申请从评标专家库随机抽取评标专家作为招标人代表。</w:t>
      </w:r>
    </w:p>
    <w:p>
      <w:pPr>
        <w:shd w:val="clear" w:color="auto" w:fill="FFFFFF"/>
        <w:adjustRightInd w:val="0"/>
        <w:snapToGrid w:val="0"/>
        <w:spacing w:line="520" w:lineRule="exact"/>
        <w:ind w:firstLine="643" w:firstLineChars="200"/>
        <w:jc w:val="both"/>
        <w:rPr>
          <w:rFonts w:ascii="仿宋_GB2312" w:hAnsi="宋体" w:eastAsia="仿宋_GB2312"/>
          <w:sz w:val="32"/>
          <w:szCs w:val="32"/>
        </w:rPr>
      </w:pPr>
      <w:bookmarkStart w:id="26" w:name="_Toc30194"/>
      <w:bookmarkStart w:id="27" w:name="_Toc26438"/>
      <w:r>
        <w:rPr>
          <w:rStyle w:val="16"/>
          <w:rFonts w:hint="eastAsia" w:cstheme="minorBidi"/>
          <w:szCs w:val="32"/>
        </w:rPr>
        <w:t>第八条【评标委员会责任】</w:t>
      </w:r>
      <w:bookmarkEnd w:id="26"/>
      <w:bookmarkEnd w:id="27"/>
      <w:r>
        <w:rPr>
          <w:rFonts w:hint="eastAsia" w:ascii="仿宋_GB2312" w:hAnsi="宋体" w:eastAsia="仿宋_GB2312"/>
          <w:sz w:val="32"/>
          <w:szCs w:val="32"/>
        </w:rPr>
        <w:t>评标委员会应当按照招标文件规定的评标标准和方法，客观、公正地对投标文件进行比较，提出评审意见。评标完成后，评标委员会应当向招标人提交书面评标报告和中标候选人名单。</w:t>
      </w:r>
    </w:p>
    <w:p>
      <w:pPr>
        <w:spacing w:line="520" w:lineRule="exact"/>
        <w:ind w:firstLine="643" w:firstLineChars="200"/>
        <w:jc w:val="both"/>
        <w:rPr>
          <w:rFonts w:ascii="仿宋_GB2312" w:hAnsi="宋体" w:eastAsia="仿宋_GB2312"/>
          <w:sz w:val="32"/>
          <w:szCs w:val="32"/>
        </w:rPr>
      </w:pPr>
      <w:bookmarkStart w:id="28" w:name="_Toc4380"/>
      <w:r>
        <w:rPr>
          <w:rStyle w:val="16"/>
          <w:rFonts w:hint="eastAsia" w:cstheme="minorBidi"/>
          <w:szCs w:val="32"/>
        </w:rPr>
        <w:t>第九条【评标原则】</w:t>
      </w:r>
      <w:bookmarkEnd w:id="28"/>
      <w:r>
        <w:rPr>
          <w:rFonts w:hint="eastAsia" w:ascii="仿宋_GB2312" w:hAnsi="宋体" w:eastAsia="仿宋_GB2312"/>
          <w:sz w:val="32"/>
          <w:szCs w:val="32"/>
        </w:rPr>
        <w:t>评标委员会在评标过程中，发现招标文件内容违反法律法规、规章以及有关强制性规定或者招标文件存在歧义、重大缺陷导致评标无法进行时，应当立即停止评标并向招标人说明情况。</w:t>
      </w:r>
    </w:p>
    <w:p>
      <w:pPr>
        <w:spacing w:line="520" w:lineRule="exact"/>
        <w:ind w:firstLine="640" w:firstLineChars="200"/>
        <w:jc w:val="both"/>
        <w:rPr>
          <w:rFonts w:ascii="仿宋_GB2312" w:hAnsi="宋体" w:eastAsia="仿宋_GB2312"/>
          <w:sz w:val="32"/>
          <w:szCs w:val="32"/>
        </w:rPr>
      </w:pPr>
      <w:r>
        <w:rPr>
          <w:rFonts w:hint="eastAsia" w:ascii="仿宋_GB2312" w:hAnsi="宋体" w:eastAsia="仿宋_GB2312"/>
          <w:sz w:val="32"/>
          <w:szCs w:val="32"/>
        </w:rPr>
        <w:t>评标委员会在进行合议时存在分歧的，采用记名投票表决，少数服从多数的原则作出结论，涉及否决投标人投标存在分歧的，认定票数应当超过三分之二，评标专家应当分别独立做出书面解释。</w:t>
      </w:r>
    </w:p>
    <w:p>
      <w:pPr>
        <w:spacing w:line="520" w:lineRule="exact"/>
        <w:ind w:firstLine="640" w:firstLineChars="200"/>
        <w:jc w:val="both"/>
        <w:rPr>
          <w:rFonts w:ascii="仿宋_GB2312" w:hAnsi="宋体" w:eastAsia="仿宋_GB2312"/>
          <w:sz w:val="32"/>
          <w:szCs w:val="32"/>
        </w:rPr>
      </w:pPr>
      <w:r>
        <w:rPr>
          <w:rFonts w:hint="eastAsia" w:ascii="仿宋_GB2312" w:hAnsi="宋体" w:eastAsia="仿宋_GB2312"/>
          <w:sz w:val="32"/>
          <w:szCs w:val="32"/>
        </w:rPr>
        <w:t>评标委员会发现违法行为，或评标过程和结果受到非法影响、干预的，应当及时向监督管理部门报告。</w:t>
      </w:r>
    </w:p>
    <w:p>
      <w:pPr>
        <w:pStyle w:val="4"/>
        <w:spacing w:line="540" w:lineRule="exact"/>
        <w:jc w:val="center"/>
        <w:rPr>
          <w:rFonts w:ascii="黑体" w:hAnsi="黑体" w:eastAsia="黑体" w:cs="黑体"/>
          <w:b w:val="0"/>
          <w:bCs/>
          <w:sz w:val="32"/>
          <w:szCs w:val="32"/>
        </w:rPr>
      </w:pPr>
      <w:bookmarkStart w:id="29" w:name="_Toc12761"/>
      <w:bookmarkStart w:id="30" w:name="_Toc10264"/>
      <w:r>
        <w:rPr>
          <w:rFonts w:hint="eastAsia" w:ascii="黑体" w:hAnsi="黑体" w:eastAsia="黑体" w:cs="黑体"/>
          <w:b w:val="0"/>
          <w:bCs/>
          <w:sz w:val="32"/>
          <w:szCs w:val="32"/>
        </w:rPr>
        <w:t>第三章资格审查</w:t>
      </w:r>
      <w:bookmarkEnd w:id="29"/>
    </w:p>
    <w:p>
      <w:pPr>
        <w:shd w:val="clear" w:color="auto" w:fill="FFFFFF"/>
        <w:adjustRightInd w:val="0"/>
        <w:snapToGrid w:val="0"/>
        <w:spacing w:line="520" w:lineRule="exact"/>
        <w:ind w:firstLine="632"/>
        <w:jc w:val="both"/>
        <w:rPr>
          <w:rFonts w:ascii="仿宋_GB2312" w:hAnsi="宋体" w:eastAsia="仿宋_GB2312"/>
          <w:bCs/>
          <w:sz w:val="32"/>
          <w:szCs w:val="32"/>
        </w:rPr>
      </w:pPr>
      <w:bookmarkStart w:id="31" w:name="_Toc13147"/>
      <w:r>
        <w:rPr>
          <w:rStyle w:val="16"/>
          <w:rFonts w:hint="eastAsia" w:cstheme="minorBidi"/>
          <w:szCs w:val="32"/>
        </w:rPr>
        <w:t>第十条【资格审查方式】</w:t>
      </w:r>
      <w:bookmarkEnd w:id="30"/>
      <w:bookmarkEnd w:id="31"/>
      <w:r>
        <w:rPr>
          <w:rFonts w:hint="eastAsia" w:ascii="仿宋_GB2312" w:hAnsi="宋体" w:eastAsia="仿宋_GB2312"/>
          <w:bCs/>
          <w:sz w:val="32"/>
          <w:szCs w:val="32"/>
        </w:rPr>
        <w:t>资格审查分为资格预审和资格后审，资格审查方式由招标人自主选择。</w:t>
      </w:r>
    </w:p>
    <w:p>
      <w:pPr>
        <w:shd w:val="clear" w:color="auto" w:fill="FFFFFF"/>
        <w:adjustRightInd w:val="0"/>
        <w:snapToGrid w:val="0"/>
        <w:spacing w:line="520" w:lineRule="exact"/>
        <w:ind w:firstLine="632"/>
        <w:jc w:val="both"/>
        <w:rPr>
          <w:rFonts w:ascii="仿宋_GB2312" w:hAnsi="宋体" w:eastAsia="仿宋_GB2312"/>
          <w:bCs/>
          <w:sz w:val="32"/>
          <w:szCs w:val="32"/>
        </w:rPr>
      </w:pPr>
      <w:r>
        <w:rPr>
          <w:rFonts w:hint="eastAsia" w:ascii="仿宋_GB2312" w:hAnsi="宋体" w:eastAsia="仿宋_GB2312"/>
          <w:bCs/>
          <w:sz w:val="32"/>
          <w:szCs w:val="32"/>
        </w:rPr>
        <w:t>对于技术难度高、评审因素复杂或社会关注度高的项目，鼓励招标人采取资格预审方式。</w:t>
      </w:r>
    </w:p>
    <w:p>
      <w:pPr>
        <w:shd w:val="clear" w:color="auto" w:fill="FFFFFF"/>
        <w:adjustRightInd w:val="0"/>
        <w:snapToGrid w:val="0"/>
        <w:spacing w:line="520" w:lineRule="exact"/>
        <w:ind w:firstLine="632"/>
        <w:jc w:val="both"/>
        <w:rPr>
          <w:rFonts w:ascii="仿宋_GB2312" w:hAnsi="宋体" w:eastAsia="仿宋_GB2312"/>
          <w:bCs/>
          <w:sz w:val="32"/>
          <w:szCs w:val="32"/>
        </w:rPr>
      </w:pPr>
      <w:bookmarkStart w:id="32" w:name="_Toc2135"/>
      <w:bookmarkStart w:id="33" w:name="_Toc1130"/>
      <w:r>
        <w:rPr>
          <w:rStyle w:val="16"/>
          <w:rFonts w:hint="eastAsia" w:cstheme="minorBidi"/>
          <w:szCs w:val="32"/>
        </w:rPr>
        <w:t>第十一条【资格预审审查因素】</w:t>
      </w:r>
      <w:bookmarkEnd w:id="32"/>
      <w:bookmarkEnd w:id="33"/>
      <w:r>
        <w:rPr>
          <w:rFonts w:hint="eastAsia" w:ascii="仿宋_GB2312" w:hAnsi="宋体" w:eastAsia="仿宋_GB2312"/>
          <w:bCs/>
          <w:sz w:val="32"/>
          <w:szCs w:val="32"/>
        </w:rPr>
        <w:t>资格预审审查因素应当以量化、客观、可查证内容为主，可以包括：申请人的资质条件、财务、业绩、信用状况以及项目负责人资格、陈述情况等内容。</w:t>
      </w:r>
    </w:p>
    <w:p>
      <w:pPr>
        <w:shd w:val="clear" w:color="auto" w:fill="FFFFFF"/>
        <w:adjustRightInd w:val="0"/>
        <w:snapToGrid w:val="0"/>
        <w:spacing w:line="520" w:lineRule="exact"/>
        <w:ind w:firstLine="632"/>
        <w:jc w:val="both"/>
        <w:rPr>
          <w:rFonts w:ascii="仿宋_GB2312" w:hAnsi="楷体" w:eastAsia="仿宋_GB2312"/>
          <w:sz w:val="32"/>
          <w:szCs w:val="32"/>
        </w:rPr>
      </w:pPr>
      <w:bookmarkStart w:id="34" w:name="_Toc11977"/>
      <w:bookmarkStart w:id="35" w:name="_Toc17502"/>
      <w:r>
        <w:rPr>
          <w:rStyle w:val="16"/>
          <w:rFonts w:hint="eastAsia" w:cstheme="minorBidi"/>
          <w:szCs w:val="32"/>
        </w:rPr>
        <w:t>第十二条【资格预审方式】</w:t>
      </w:r>
      <w:bookmarkEnd w:id="34"/>
      <w:bookmarkEnd w:id="35"/>
      <w:r>
        <w:rPr>
          <w:rFonts w:hint="eastAsia" w:ascii="仿宋_GB2312" w:hAnsi="楷体" w:eastAsia="仿宋_GB2312"/>
          <w:sz w:val="32"/>
          <w:szCs w:val="32"/>
        </w:rPr>
        <w:t>资格预审可以采取合格制或有限数量制方法评审，具体评审标准应当在资格预审文件中明确。采取合格制的，经评审达到合格条件的，均为合格申请人；采取有限数量制的，经评审合格的申请人数量应当不少于15家。</w:t>
      </w:r>
    </w:p>
    <w:p>
      <w:pPr>
        <w:shd w:val="clear" w:color="auto" w:fill="FFFFFF"/>
        <w:adjustRightInd w:val="0"/>
        <w:snapToGrid w:val="0"/>
        <w:spacing w:line="520" w:lineRule="exact"/>
        <w:ind w:firstLine="632"/>
        <w:jc w:val="both"/>
        <w:rPr>
          <w:rFonts w:ascii="仿宋_GB2312" w:hAnsi="楷体" w:eastAsia="仿宋_GB2312"/>
          <w:sz w:val="32"/>
          <w:szCs w:val="32"/>
        </w:rPr>
      </w:pPr>
      <w:r>
        <w:rPr>
          <w:rFonts w:hint="eastAsia" w:ascii="仿宋_GB2312" w:hAnsi="楷体" w:eastAsia="仿宋_GB2312"/>
          <w:sz w:val="32"/>
          <w:szCs w:val="32"/>
        </w:rPr>
        <w:t>递交资格预审申请文件的申请人少于15家时，不再进行资格预审，所有申请人均参与投标，资格审查采用资格后审方式。通过资格预审的申请人少于3家的，应当重新招标。</w:t>
      </w:r>
    </w:p>
    <w:p>
      <w:pPr>
        <w:shd w:val="clear" w:color="auto" w:fill="FFFFFF"/>
        <w:adjustRightInd w:val="0"/>
        <w:snapToGrid w:val="0"/>
        <w:spacing w:line="520" w:lineRule="exact"/>
        <w:ind w:firstLine="632"/>
        <w:jc w:val="both"/>
        <w:rPr>
          <w:rFonts w:ascii="仿宋_GB2312" w:hAnsi="宋体" w:eastAsia="仿宋_GB2312"/>
          <w:bCs/>
          <w:sz w:val="32"/>
          <w:szCs w:val="32"/>
        </w:rPr>
      </w:pPr>
      <w:bookmarkStart w:id="36" w:name="_Toc30069"/>
      <w:bookmarkStart w:id="37" w:name="_Toc30493"/>
      <w:r>
        <w:rPr>
          <w:rStyle w:val="16"/>
          <w:rFonts w:hint="eastAsia" w:cstheme="minorBidi"/>
          <w:szCs w:val="32"/>
        </w:rPr>
        <w:t>第十三条【有限数量制的评审】</w:t>
      </w:r>
      <w:bookmarkEnd w:id="36"/>
      <w:bookmarkEnd w:id="37"/>
      <w:r>
        <w:rPr>
          <w:rFonts w:hint="eastAsia" w:ascii="仿宋_GB2312" w:hAnsi="宋体" w:eastAsia="仿宋_GB2312"/>
          <w:bCs/>
          <w:sz w:val="32"/>
          <w:szCs w:val="32"/>
        </w:rPr>
        <w:t>资格预审采取有限数量制的，评审分值</w:t>
      </w:r>
      <w:r>
        <w:rPr>
          <w:rFonts w:hint="eastAsia" w:ascii="仿宋_GB2312" w:hAnsi="楷体" w:eastAsia="仿宋_GB2312"/>
          <w:sz w:val="32"/>
          <w:szCs w:val="32"/>
        </w:rPr>
        <w:t>采取百分制</w:t>
      </w:r>
      <w:r>
        <w:rPr>
          <w:rFonts w:hint="eastAsia" w:ascii="仿宋_GB2312" w:hAnsi="宋体" w:eastAsia="仿宋_GB2312"/>
          <w:bCs/>
          <w:sz w:val="32"/>
          <w:szCs w:val="32"/>
        </w:rPr>
        <w:t>，如设置无法提出可量化评审标准的主观审查因素，其总分值不得超过10分，单项分值不得超过3分。</w:t>
      </w:r>
    </w:p>
    <w:p>
      <w:pPr>
        <w:shd w:val="clear" w:color="auto" w:fill="FFFFFF"/>
        <w:adjustRightInd w:val="0"/>
        <w:snapToGrid w:val="0"/>
        <w:spacing w:line="520" w:lineRule="exact"/>
        <w:ind w:firstLine="632"/>
        <w:jc w:val="both"/>
        <w:rPr>
          <w:rFonts w:ascii="仿宋_GB2312" w:hAnsi="宋体" w:eastAsia="仿宋_GB2312"/>
          <w:bCs/>
          <w:sz w:val="32"/>
          <w:szCs w:val="32"/>
        </w:rPr>
      </w:pPr>
      <w:bookmarkStart w:id="38" w:name="_Toc13533"/>
      <w:bookmarkStart w:id="39" w:name="_Toc21397"/>
      <w:r>
        <w:rPr>
          <w:rStyle w:val="16"/>
          <w:rFonts w:hint="eastAsia" w:cstheme="minorBidi"/>
          <w:szCs w:val="32"/>
        </w:rPr>
        <w:t>第十四条【项目负责人陈述】</w:t>
      </w:r>
      <w:bookmarkEnd w:id="38"/>
      <w:bookmarkEnd w:id="39"/>
      <w:r>
        <w:rPr>
          <w:rFonts w:hint="eastAsia" w:ascii="仿宋_GB2312" w:hAnsi="宋体" w:eastAsia="仿宋_GB2312"/>
          <w:bCs/>
          <w:sz w:val="32"/>
          <w:szCs w:val="32"/>
        </w:rPr>
        <w:t>招标人应当注重对项目负责人的考察，在资格预审中设置项目负责人陈述环节。</w:t>
      </w:r>
    </w:p>
    <w:p>
      <w:pPr>
        <w:shd w:val="clear" w:color="auto" w:fill="FFFFFF"/>
        <w:adjustRightInd w:val="0"/>
        <w:snapToGrid w:val="0"/>
        <w:spacing w:line="520" w:lineRule="exact"/>
        <w:ind w:firstLine="632"/>
        <w:jc w:val="both"/>
        <w:rPr>
          <w:rFonts w:ascii="仿宋_GB2312" w:hAnsi="宋体" w:eastAsia="仿宋_GB2312"/>
          <w:bCs/>
          <w:sz w:val="32"/>
          <w:szCs w:val="32"/>
        </w:rPr>
      </w:pPr>
      <w:r>
        <w:rPr>
          <w:rFonts w:hint="eastAsia" w:ascii="仿宋_GB2312" w:hAnsi="宋体" w:eastAsia="仿宋_GB2312"/>
          <w:bCs/>
          <w:sz w:val="32"/>
          <w:szCs w:val="32"/>
        </w:rPr>
        <w:t>资格审查委员会随机抽取资格预审申请人进行陈述。资格预审申请人数不超过20家，申请人全部参与陈述。申请人数超过20家，参加陈述的申请人数量=20+（申请人数-20）*20%。（数量四舍五入取整）</w:t>
      </w:r>
    </w:p>
    <w:p>
      <w:pPr>
        <w:shd w:val="clear" w:color="auto" w:fill="FFFFFF"/>
        <w:adjustRightInd w:val="0"/>
        <w:snapToGrid w:val="0"/>
        <w:spacing w:line="520" w:lineRule="exact"/>
        <w:ind w:firstLine="632"/>
        <w:jc w:val="both"/>
        <w:rPr>
          <w:rFonts w:ascii="仿宋_GB2312" w:hAnsi="宋体" w:eastAsia="仿宋_GB2312"/>
          <w:bCs/>
          <w:sz w:val="32"/>
          <w:szCs w:val="32"/>
        </w:rPr>
      </w:pPr>
      <w:r>
        <w:rPr>
          <w:rFonts w:hint="eastAsia" w:ascii="仿宋_GB2312" w:hAnsi="宋体" w:eastAsia="仿宋_GB2312"/>
          <w:bCs/>
          <w:sz w:val="32"/>
          <w:szCs w:val="32"/>
        </w:rPr>
        <w:t>项目负责人未按时参加陈述或陈述不通过的，资格审查委员会应当否决其申请。</w:t>
      </w:r>
    </w:p>
    <w:p>
      <w:pPr>
        <w:shd w:val="clear" w:color="auto" w:fill="FFFFFF"/>
        <w:adjustRightInd w:val="0"/>
        <w:snapToGrid w:val="0"/>
        <w:spacing w:line="520" w:lineRule="exact"/>
        <w:ind w:firstLine="632"/>
        <w:jc w:val="both"/>
        <w:rPr>
          <w:rFonts w:ascii="仿宋_GB2312" w:hAnsi="宋体" w:eastAsia="仿宋_GB2312"/>
          <w:bCs/>
          <w:sz w:val="32"/>
          <w:szCs w:val="32"/>
        </w:rPr>
      </w:pPr>
      <w:bookmarkStart w:id="40" w:name="_Toc14355"/>
      <w:bookmarkStart w:id="41" w:name="_Toc12224"/>
      <w:r>
        <w:rPr>
          <w:rStyle w:val="16"/>
          <w:rFonts w:hint="eastAsia" w:cstheme="minorBidi"/>
          <w:szCs w:val="32"/>
        </w:rPr>
        <w:t>第十五条【资格预审结果】</w:t>
      </w:r>
      <w:bookmarkEnd w:id="40"/>
      <w:bookmarkEnd w:id="41"/>
      <w:r>
        <w:rPr>
          <w:rFonts w:hint="eastAsia" w:ascii="仿宋_GB2312" w:hAnsi="宋体" w:eastAsia="仿宋_GB2312"/>
          <w:bCs/>
          <w:sz w:val="32"/>
          <w:szCs w:val="32"/>
        </w:rPr>
        <w:t>采用资格预审的，招标人应当在资格预审结束后3个工作日内，向资格预审申请人发出资格预审结果通知书，邀请通过资格预审的申请人参与投标，告知未通过资格预审的申请人其未通过的原因。</w:t>
      </w:r>
    </w:p>
    <w:p>
      <w:pPr>
        <w:shd w:val="clear" w:color="auto" w:fill="FFFFFF"/>
        <w:spacing w:line="520" w:lineRule="exact"/>
        <w:ind w:firstLine="632"/>
        <w:jc w:val="both"/>
        <w:rPr>
          <w:rFonts w:ascii="仿宋_GB2312" w:hAnsi="楷体" w:eastAsia="仿宋_GB2312"/>
          <w:sz w:val="32"/>
          <w:szCs w:val="32"/>
        </w:rPr>
      </w:pPr>
      <w:bookmarkStart w:id="42" w:name="_Toc8161"/>
      <w:bookmarkStart w:id="43" w:name="_Toc14101"/>
      <w:r>
        <w:rPr>
          <w:rStyle w:val="16"/>
          <w:rFonts w:hint="eastAsia" w:cstheme="minorBidi"/>
        </w:rPr>
        <w:t>第十六条【资格后审】</w:t>
      </w:r>
      <w:bookmarkEnd w:id="42"/>
      <w:bookmarkEnd w:id="43"/>
      <w:r>
        <w:rPr>
          <w:rFonts w:hint="eastAsia" w:ascii="仿宋_GB2312" w:hAnsi="楷体" w:eastAsia="仿宋_GB2312"/>
          <w:sz w:val="32"/>
          <w:szCs w:val="32"/>
        </w:rPr>
        <w:t>采用资格后审方式进行资格审查的，应当在开标后由评标委员会按照招标文件规定的评标标准和方法对投标人的资格进行审查。评审结果分合格、不合格，各项评审因素如有一项不合格即为资格审查不合格，评标委员会应当否决其投标。评标委员会应当对审查过程和结果进行书面记录，作为评标报告的组成内容。</w:t>
      </w:r>
    </w:p>
    <w:p>
      <w:pPr>
        <w:shd w:val="clear" w:color="auto" w:fill="FFFFFF"/>
        <w:spacing w:line="520" w:lineRule="exact"/>
        <w:ind w:firstLine="632"/>
        <w:jc w:val="both"/>
        <w:rPr>
          <w:rFonts w:ascii="仿宋_GB2312" w:hAnsi="楷体" w:eastAsia="仿宋_GB2312"/>
          <w:sz w:val="32"/>
          <w:szCs w:val="32"/>
        </w:rPr>
      </w:pPr>
      <w:r>
        <w:rPr>
          <w:rFonts w:hint="eastAsia" w:ascii="仿宋_GB2312" w:hAnsi="楷体" w:eastAsia="仿宋_GB2312"/>
          <w:sz w:val="32"/>
          <w:szCs w:val="32"/>
        </w:rPr>
        <w:t>招标项目已完成资格预审的，评标委员会应当根据招标文件的规定对投标人的资格条件进行复核。投标人发生重大变化，不再具备资格预审文件、招标文件规定的资格条件或其投标影响招标公正性的，其投标无效。</w:t>
      </w:r>
    </w:p>
    <w:p>
      <w:pPr>
        <w:shd w:val="clear" w:color="auto" w:fill="FFFFFF"/>
        <w:adjustRightInd w:val="0"/>
        <w:snapToGrid w:val="0"/>
        <w:spacing w:line="520" w:lineRule="exact"/>
        <w:ind w:firstLine="643" w:firstLineChars="200"/>
        <w:jc w:val="both"/>
        <w:rPr>
          <w:rFonts w:ascii="仿宋_GB2312" w:hAnsi="楷体" w:eastAsia="仿宋_GB2312"/>
          <w:sz w:val="32"/>
          <w:szCs w:val="32"/>
        </w:rPr>
      </w:pPr>
      <w:bookmarkStart w:id="44" w:name="_Toc31055"/>
      <w:bookmarkStart w:id="45" w:name="_Toc12962"/>
      <w:r>
        <w:rPr>
          <w:rStyle w:val="16"/>
          <w:rFonts w:hint="eastAsia" w:cstheme="minorBidi"/>
          <w:szCs w:val="32"/>
        </w:rPr>
        <w:t>第十七条【辅助核实】</w:t>
      </w:r>
      <w:bookmarkEnd w:id="44"/>
      <w:bookmarkEnd w:id="45"/>
      <w:r>
        <w:rPr>
          <w:rFonts w:hint="eastAsia" w:ascii="仿宋_GB2312" w:hAnsi="楷体" w:eastAsia="仿宋_GB2312"/>
          <w:sz w:val="32"/>
          <w:szCs w:val="32"/>
        </w:rPr>
        <w:t>招标人或其委托的代理机构可以辅助核实资格预审申请人或投标人的资质资格、业绩、信用状况等内容，具体核实内容和方法应当在资格预审文件或招标文件中载明。辅助核实工作应当客观、准确，不得对资格预审申请文件或投标文件作出任何更改和倾向性评价。</w:t>
      </w:r>
    </w:p>
    <w:p>
      <w:pPr>
        <w:shd w:val="clear" w:color="auto" w:fill="FFFFFF"/>
        <w:adjustRightInd w:val="0"/>
        <w:snapToGrid w:val="0"/>
        <w:spacing w:line="520" w:lineRule="exact"/>
        <w:ind w:firstLine="640" w:firstLineChars="200"/>
        <w:jc w:val="both"/>
        <w:rPr>
          <w:rFonts w:ascii="仿宋_GB2312" w:hAnsi="楷体" w:eastAsia="仿宋_GB2312"/>
          <w:sz w:val="32"/>
          <w:szCs w:val="32"/>
        </w:rPr>
      </w:pPr>
      <w:r>
        <w:rPr>
          <w:rFonts w:hint="eastAsia" w:ascii="仿宋_GB2312" w:hAnsi="楷体" w:eastAsia="仿宋_GB2312"/>
          <w:sz w:val="32"/>
          <w:szCs w:val="32"/>
        </w:rPr>
        <w:t>核实结果应当由招标人授权代表签字确认后，提供给资格审查委员会或评标委员会作为评审参考，核实资料应当作为评标报告组成部分留存。</w:t>
      </w:r>
    </w:p>
    <w:p>
      <w:pPr>
        <w:pStyle w:val="4"/>
        <w:spacing w:line="540" w:lineRule="exact"/>
        <w:jc w:val="center"/>
        <w:rPr>
          <w:rFonts w:ascii="黑体" w:hAnsi="黑体" w:eastAsia="黑体" w:cs="黑体"/>
          <w:b w:val="0"/>
          <w:bCs/>
          <w:sz w:val="32"/>
          <w:szCs w:val="32"/>
        </w:rPr>
      </w:pPr>
      <w:bookmarkStart w:id="46" w:name="_Toc1350"/>
      <w:bookmarkStart w:id="47" w:name="_Toc10571"/>
      <w:r>
        <w:rPr>
          <w:rFonts w:hint="eastAsia" w:ascii="黑体" w:hAnsi="黑体" w:eastAsia="黑体" w:cs="黑体"/>
          <w:b w:val="0"/>
          <w:bCs/>
          <w:sz w:val="32"/>
          <w:szCs w:val="32"/>
        </w:rPr>
        <w:t>第四章综合评估法</w:t>
      </w:r>
      <w:bookmarkEnd w:id="46"/>
      <w:bookmarkEnd w:id="47"/>
    </w:p>
    <w:p>
      <w:pPr>
        <w:shd w:val="clear" w:color="auto" w:fill="FFFFFF"/>
        <w:adjustRightInd w:val="0"/>
        <w:snapToGrid w:val="0"/>
        <w:spacing w:line="520" w:lineRule="exact"/>
        <w:ind w:firstLine="643" w:firstLineChars="200"/>
        <w:jc w:val="both"/>
        <w:rPr>
          <w:rFonts w:ascii="仿宋_GB2312" w:hAnsi="楷体" w:eastAsia="仿宋_GB2312"/>
          <w:sz w:val="32"/>
          <w:szCs w:val="32"/>
        </w:rPr>
      </w:pPr>
      <w:bookmarkStart w:id="48" w:name="_Toc5740"/>
      <w:bookmarkStart w:id="49" w:name="_Toc22542"/>
      <w:r>
        <w:rPr>
          <w:rStyle w:val="16"/>
          <w:rFonts w:hint="eastAsia" w:cstheme="minorBidi"/>
          <w:szCs w:val="32"/>
        </w:rPr>
        <w:t>第十八条【综合评估法】</w:t>
      </w:r>
      <w:bookmarkEnd w:id="48"/>
      <w:bookmarkEnd w:id="49"/>
      <w:r>
        <w:rPr>
          <w:rFonts w:hint="eastAsia" w:ascii="仿宋_GB2312" w:hAnsi="楷体" w:eastAsia="仿宋_GB2312"/>
          <w:sz w:val="32"/>
          <w:szCs w:val="32"/>
        </w:rPr>
        <w:t>综合评估法是指评标委员会对资格审查合格的投标人进行技术、资信和商务标的量化评审，对评审结果进行汇总后，按照招标文件的规定，推荐中标候选人。</w:t>
      </w:r>
    </w:p>
    <w:p>
      <w:pPr>
        <w:shd w:val="clear" w:color="auto" w:fill="FFFFFF"/>
        <w:adjustRightInd w:val="0"/>
        <w:snapToGrid w:val="0"/>
        <w:spacing w:line="520" w:lineRule="exact"/>
        <w:ind w:firstLine="640" w:firstLineChars="200"/>
        <w:jc w:val="both"/>
        <w:rPr>
          <w:rFonts w:ascii="仿宋_GB2312" w:hAnsi="楷体" w:eastAsia="仿宋_GB2312"/>
          <w:sz w:val="32"/>
          <w:szCs w:val="32"/>
        </w:rPr>
      </w:pPr>
      <w:r>
        <w:rPr>
          <w:rFonts w:hint="eastAsia" w:ascii="仿宋_GB2312" w:hAnsi="楷体" w:eastAsia="仿宋_GB2312"/>
          <w:sz w:val="32"/>
          <w:szCs w:val="32"/>
        </w:rPr>
        <w:t>综合评估法评审采取百分制，包括资信标、技术标、商务标评审，分值合计100分。其中：设定资信标10分，技术标不得超过30分，商务标不得少于60分。</w:t>
      </w:r>
    </w:p>
    <w:p>
      <w:pPr>
        <w:shd w:val="clear" w:color="auto" w:fill="FFFFFF"/>
        <w:adjustRightInd w:val="0"/>
        <w:snapToGrid w:val="0"/>
        <w:spacing w:line="520" w:lineRule="exact"/>
        <w:ind w:firstLine="643" w:firstLineChars="200"/>
        <w:jc w:val="both"/>
        <w:rPr>
          <w:rFonts w:ascii="仿宋_GB2312" w:hAnsi="楷体" w:eastAsia="仿宋_GB2312"/>
          <w:sz w:val="32"/>
          <w:szCs w:val="32"/>
        </w:rPr>
      </w:pPr>
      <w:bookmarkStart w:id="50" w:name="_Toc14069"/>
      <w:bookmarkStart w:id="51" w:name="_Toc26516"/>
      <w:r>
        <w:rPr>
          <w:rStyle w:val="16"/>
          <w:rFonts w:hint="eastAsia" w:cstheme="minorBidi"/>
          <w:szCs w:val="32"/>
        </w:rPr>
        <w:t>第十九条【评标程序】</w:t>
      </w:r>
      <w:bookmarkEnd w:id="50"/>
      <w:bookmarkEnd w:id="51"/>
      <w:r>
        <w:rPr>
          <w:rFonts w:hint="eastAsia" w:ascii="仿宋_GB2312" w:hAnsi="楷体" w:eastAsia="仿宋_GB2312"/>
          <w:sz w:val="32"/>
          <w:szCs w:val="32"/>
        </w:rPr>
        <w:t>综合评估法的评标程序包括：评标准备，资格审查，技术标、资信标初步评审、详细评审，商务标初步评审、询标、详细评审，评审汇总出具评标报告。</w:t>
      </w:r>
    </w:p>
    <w:p>
      <w:pPr>
        <w:shd w:val="clear" w:color="auto" w:fill="FFFFFF"/>
        <w:adjustRightInd w:val="0"/>
        <w:snapToGrid w:val="0"/>
        <w:spacing w:line="520" w:lineRule="exact"/>
        <w:ind w:firstLine="643" w:firstLineChars="200"/>
        <w:jc w:val="both"/>
        <w:rPr>
          <w:rFonts w:ascii="仿宋_GB2312" w:hAnsi="楷体" w:eastAsia="仿宋_GB2312"/>
          <w:sz w:val="32"/>
          <w:szCs w:val="32"/>
        </w:rPr>
      </w:pPr>
      <w:bookmarkStart w:id="52" w:name="_Toc7616"/>
      <w:bookmarkStart w:id="53" w:name="_Toc19420"/>
      <w:r>
        <w:rPr>
          <w:rStyle w:val="16"/>
          <w:rFonts w:hint="eastAsia" w:cstheme="minorBidi"/>
          <w:szCs w:val="32"/>
        </w:rPr>
        <w:t>第二十条【技术标暗标编制要求】</w:t>
      </w:r>
      <w:bookmarkEnd w:id="52"/>
      <w:bookmarkEnd w:id="53"/>
      <w:r>
        <w:rPr>
          <w:rFonts w:hint="eastAsia" w:ascii="仿宋_GB2312" w:hAnsi="楷体" w:eastAsia="仿宋_GB2312"/>
          <w:sz w:val="32"/>
          <w:szCs w:val="32"/>
        </w:rPr>
        <w:t>采用综合评估法的，技术标可以采用隐藏投标人信息的暗标形式编制。招标人应当在招标文件中明确技术标暗标的编制、密封要求，投标人按照招标文件要求编制、提交技术标文件，不得出现任何可能泄露投标人信息的内容。</w:t>
      </w:r>
    </w:p>
    <w:p>
      <w:pPr>
        <w:adjustRightInd w:val="0"/>
        <w:snapToGrid w:val="0"/>
        <w:spacing w:line="520" w:lineRule="exact"/>
        <w:ind w:firstLine="643" w:firstLineChars="200"/>
        <w:jc w:val="both"/>
        <w:rPr>
          <w:rFonts w:ascii="仿宋_GB2312" w:hAnsi="楷体" w:eastAsia="仿宋_GB2312"/>
          <w:sz w:val="32"/>
          <w:szCs w:val="32"/>
        </w:rPr>
      </w:pPr>
      <w:bookmarkStart w:id="54" w:name="_Toc25712"/>
      <w:bookmarkStart w:id="55" w:name="_Toc4687"/>
      <w:r>
        <w:rPr>
          <w:rStyle w:val="16"/>
          <w:rFonts w:hint="eastAsia" w:cstheme="minorBidi"/>
          <w:szCs w:val="32"/>
        </w:rPr>
        <w:t>第二十一条【技术标项目负责人答辩】</w:t>
      </w:r>
      <w:bookmarkEnd w:id="54"/>
      <w:bookmarkEnd w:id="55"/>
      <w:r>
        <w:rPr>
          <w:rFonts w:hint="eastAsia" w:ascii="仿宋_GB2312" w:hAnsi="楷体" w:eastAsia="仿宋_GB2312"/>
          <w:sz w:val="32"/>
          <w:szCs w:val="32"/>
        </w:rPr>
        <w:t>对于未采取资格预审的，招标人应当在技术标评审环节设置项目负责人答辩。项目负责人答辩的内容包括工程概况、投标技术方案等，但不得对投标文件内容做出实质性改变。</w:t>
      </w:r>
    </w:p>
    <w:p>
      <w:pPr>
        <w:adjustRightInd w:val="0"/>
        <w:snapToGrid w:val="0"/>
        <w:spacing w:line="520" w:lineRule="exact"/>
        <w:ind w:firstLine="640" w:firstLineChars="200"/>
        <w:jc w:val="both"/>
        <w:rPr>
          <w:rFonts w:ascii="仿宋_GB2312" w:hAnsi="楷体" w:eastAsia="仿宋_GB2312"/>
          <w:sz w:val="32"/>
          <w:szCs w:val="32"/>
        </w:rPr>
      </w:pPr>
      <w:r>
        <w:rPr>
          <w:rFonts w:hint="eastAsia" w:ascii="仿宋_GB2312" w:hAnsi="楷体" w:eastAsia="仿宋_GB2312"/>
          <w:sz w:val="32"/>
          <w:szCs w:val="32"/>
        </w:rPr>
        <w:t>答辩可以采取评分制或合格制，评分标准和要求应当在招标文件中明确。项目负责人未按时参加答辩或答辩不通过的，其投标文件不再进行后续评审。</w:t>
      </w:r>
    </w:p>
    <w:p>
      <w:pPr>
        <w:adjustRightInd w:val="0"/>
        <w:snapToGrid w:val="0"/>
        <w:spacing w:line="520" w:lineRule="exact"/>
        <w:ind w:firstLine="643" w:firstLineChars="200"/>
        <w:jc w:val="both"/>
        <w:rPr>
          <w:rFonts w:ascii="仿宋_GB2312" w:hAnsi="楷体" w:eastAsia="仿宋_GB2312"/>
          <w:sz w:val="32"/>
          <w:szCs w:val="32"/>
        </w:rPr>
      </w:pPr>
      <w:bookmarkStart w:id="56" w:name="_Toc20087"/>
      <w:bookmarkStart w:id="57" w:name="_Toc13677"/>
      <w:r>
        <w:rPr>
          <w:rStyle w:val="16"/>
          <w:rFonts w:hint="eastAsia" w:cstheme="minorBidi"/>
          <w:szCs w:val="32"/>
        </w:rPr>
        <w:t>第二十二条【技术标评审内容】</w:t>
      </w:r>
      <w:bookmarkEnd w:id="56"/>
      <w:bookmarkEnd w:id="57"/>
      <w:r>
        <w:rPr>
          <w:rFonts w:hint="eastAsia" w:ascii="仿宋_GB2312" w:hAnsi="楷体" w:eastAsia="仿宋_GB2312"/>
          <w:sz w:val="32"/>
          <w:szCs w:val="32"/>
        </w:rPr>
        <w:t>招标人应当根据工程性质、技术特点及施工要求，在招标文件中明确技术标评审因素。鼓励招标人围绕高质量发展要求设置科技创新、绿色低碳、智能建造等评审因素。</w:t>
      </w:r>
    </w:p>
    <w:p>
      <w:pPr>
        <w:adjustRightInd w:val="0"/>
        <w:snapToGrid w:val="0"/>
        <w:spacing w:line="520" w:lineRule="exact"/>
        <w:ind w:firstLine="643" w:firstLineChars="200"/>
        <w:jc w:val="both"/>
        <w:rPr>
          <w:rFonts w:ascii="仿宋_GB2312" w:hAnsi="楷体" w:eastAsia="仿宋_GB2312"/>
          <w:sz w:val="32"/>
          <w:szCs w:val="32"/>
        </w:rPr>
      </w:pPr>
      <w:bookmarkStart w:id="58" w:name="_Toc5858"/>
      <w:bookmarkStart w:id="59" w:name="_Toc10506"/>
      <w:r>
        <w:rPr>
          <w:rStyle w:val="16"/>
          <w:rFonts w:hint="eastAsia" w:cstheme="minorBidi"/>
          <w:szCs w:val="32"/>
        </w:rPr>
        <w:t>第二十三条【技术标评审方式】</w:t>
      </w:r>
      <w:bookmarkEnd w:id="58"/>
      <w:bookmarkEnd w:id="59"/>
      <w:r>
        <w:rPr>
          <w:rFonts w:hint="eastAsia" w:ascii="仿宋_GB2312" w:hAnsi="楷体" w:eastAsia="仿宋_GB2312"/>
          <w:sz w:val="32"/>
          <w:szCs w:val="32"/>
        </w:rPr>
        <w:t>技术标评审采取赋分制。将技术标各单项评审因素的评审标准划分不少于三个且不多于五个等级。招标人应当在招标文件中对评审标准等级由高到低的顺序赋予分值，并明确各等级投标人的所占比例数和取整方法，评审方式可以参照附件。</w:t>
      </w:r>
    </w:p>
    <w:p>
      <w:pPr>
        <w:adjustRightInd w:val="0"/>
        <w:snapToGrid w:val="0"/>
        <w:spacing w:line="520" w:lineRule="exact"/>
        <w:ind w:firstLine="640" w:firstLineChars="200"/>
        <w:jc w:val="both"/>
        <w:rPr>
          <w:rFonts w:ascii="仿宋_GB2312" w:hAnsi="楷体" w:eastAsia="仿宋_GB2312"/>
          <w:sz w:val="32"/>
          <w:szCs w:val="32"/>
        </w:rPr>
      </w:pPr>
      <w:r>
        <w:rPr>
          <w:rFonts w:hint="eastAsia" w:ascii="仿宋_GB2312" w:hAnsi="楷体" w:eastAsia="仿宋_GB2312"/>
          <w:sz w:val="32"/>
          <w:szCs w:val="32"/>
        </w:rPr>
        <w:t>招标人可以设置重点单项评审因素，评标委员会成员对同一投标人的重点单项评审因素评审同时存在最高和最低等级时，应当进行书面说明。</w:t>
      </w:r>
    </w:p>
    <w:p>
      <w:pPr>
        <w:adjustRightInd w:val="0"/>
        <w:snapToGrid w:val="0"/>
        <w:spacing w:line="520" w:lineRule="exact"/>
        <w:ind w:firstLine="643" w:firstLineChars="200"/>
        <w:jc w:val="both"/>
        <w:rPr>
          <w:rFonts w:ascii="仿宋_GB2312" w:hAnsi="楷体" w:eastAsia="仿宋_GB2312"/>
          <w:sz w:val="32"/>
          <w:szCs w:val="32"/>
        </w:rPr>
      </w:pPr>
      <w:bookmarkStart w:id="60" w:name="_Toc18311"/>
      <w:bookmarkStart w:id="61" w:name="_Toc5769"/>
      <w:r>
        <w:rPr>
          <w:rStyle w:val="16"/>
          <w:rFonts w:hint="eastAsia" w:cstheme="minorBidi"/>
          <w:szCs w:val="32"/>
        </w:rPr>
        <w:t>第二十四条【资信标评审内容】</w:t>
      </w:r>
      <w:bookmarkEnd w:id="60"/>
      <w:bookmarkEnd w:id="61"/>
      <w:r>
        <w:rPr>
          <w:rFonts w:hint="eastAsia" w:ascii="仿宋_GB2312" w:hAnsi="楷体" w:eastAsia="仿宋_GB2312"/>
          <w:sz w:val="32"/>
          <w:szCs w:val="32"/>
        </w:rPr>
        <w:t>资信标评审内容包括企业信用评价、同类工程业绩。其中：同类工程业绩包括企业、项目负责人两类。设定企业信用评价不得超过3分、企业同类业绩不得超过4分、项目负责人同类业绩不得少于3分，具体分值设定由招标人在招标文件中明确。</w:t>
      </w:r>
    </w:p>
    <w:p>
      <w:pPr>
        <w:adjustRightInd w:val="0"/>
        <w:snapToGrid w:val="0"/>
        <w:spacing w:line="520" w:lineRule="exact"/>
        <w:ind w:firstLine="643" w:firstLineChars="200"/>
        <w:jc w:val="both"/>
        <w:rPr>
          <w:rFonts w:ascii="仿宋_GB2312" w:hAnsi="楷体" w:eastAsia="仿宋_GB2312"/>
          <w:sz w:val="32"/>
          <w:szCs w:val="32"/>
        </w:rPr>
      </w:pPr>
      <w:bookmarkStart w:id="62" w:name="_Toc16596"/>
      <w:bookmarkStart w:id="63" w:name="_Toc22077"/>
      <w:r>
        <w:rPr>
          <w:rStyle w:val="16"/>
          <w:rFonts w:hint="eastAsia" w:cstheme="minorBidi"/>
          <w:szCs w:val="32"/>
        </w:rPr>
        <w:t>第二十五条</w:t>
      </w:r>
      <w:r>
        <w:rPr>
          <w:rStyle w:val="16"/>
          <w:rFonts w:cstheme="minorBidi"/>
          <w:szCs w:val="32"/>
        </w:rPr>
        <w:t>【</w:t>
      </w:r>
      <w:r>
        <w:rPr>
          <w:rStyle w:val="16"/>
          <w:rFonts w:hint="eastAsia" w:cstheme="minorBidi"/>
          <w:szCs w:val="32"/>
        </w:rPr>
        <w:t>信用评价分值计算</w:t>
      </w:r>
      <w:r>
        <w:rPr>
          <w:rStyle w:val="16"/>
          <w:rFonts w:cstheme="minorBidi"/>
          <w:szCs w:val="32"/>
        </w:rPr>
        <w:t>】</w:t>
      </w:r>
      <w:bookmarkEnd w:id="62"/>
      <w:bookmarkEnd w:id="63"/>
      <w:r>
        <w:rPr>
          <w:rFonts w:hint="eastAsia" w:ascii="仿宋_GB2312" w:hAnsi="楷体" w:eastAsia="仿宋_GB2312"/>
          <w:sz w:val="32"/>
          <w:szCs w:val="32"/>
        </w:rPr>
        <w:t>企业信用评价分以开标当日市住房城乡建设委公布的信用评价得分和等级为计算依据，具体计算方式可以参照附件。</w:t>
      </w:r>
    </w:p>
    <w:p>
      <w:pPr>
        <w:shd w:val="clear" w:color="auto" w:fill="FFFFFF"/>
        <w:adjustRightInd w:val="0"/>
        <w:snapToGrid w:val="0"/>
        <w:spacing w:line="520" w:lineRule="exact"/>
        <w:ind w:firstLine="632"/>
        <w:jc w:val="both"/>
        <w:rPr>
          <w:rFonts w:ascii="仿宋_GB2312" w:hAnsi="楷体" w:eastAsia="仿宋_GB2312"/>
          <w:sz w:val="32"/>
          <w:szCs w:val="32"/>
        </w:rPr>
      </w:pPr>
      <w:bookmarkStart w:id="64" w:name="_Toc27212"/>
      <w:bookmarkStart w:id="65" w:name="_Toc10528"/>
      <w:r>
        <w:rPr>
          <w:rStyle w:val="16"/>
          <w:rFonts w:hint="eastAsia" w:cstheme="minorBidi"/>
          <w:szCs w:val="32"/>
        </w:rPr>
        <w:t>第二十六条【业绩要求】</w:t>
      </w:r>
      <w:bookmarkEnd w:id="64"/>
      <w:bookmarkEnd w:id="65"/>
      <w:r>
        <w:rPr>
          <w:rFonts w:hint="eastAsia" w:ascii="仿宋_GB2312" w:hAnsi="楷体" w:eastAsia="仿宋_GB2312"/>
          <w:sz w:val="32"/>
          <w:szCs w:val="32"/>
        </w:rPr>
        <w:t>同类工程业绩应当为已完成且质量合格业绩。企业同类工程业绩年限要求不得少于5年，年限标准以工程竣工验收时间为准。项目负责人同类工程业绩不应当有年限限制。</w:t>
      </w:r>
    </w:p>
    <w:p>
      <w:pPr>
        <w:shd w:val="clear" w:color="auto" w:fill="FFFFFF"/>
        <w:adjustRightInd w:val="0"/>
        <w:snapToGrid w:val="0"/>
        <w:spacing w:line="520" w:lineRule="exact"/>
        <w:ind w:firstLine="632"/>
        <w:jc w:val="both"/>
        <w:rPr>
          <w:rFonts w:ascii="仿宋_GB2312" w:hAnsi="楷体" w:eastAsia="仿宋_GB2312"/>
          <w:sz w:val="32"/>
          <w:szCs w:val="32"/>
        </w:rPr>
      </w:pPr>
      <w:r>
        <w:rPr>
          <w:rFonts w:hint="eastAsia" w:ascii="仿宋_GB2312" w:hAnsi="楷体" w:eastAsia="仿宋_GB2312"/>
          <w:sz w:val="32"/>
          <w:szCs w:val="32"/>
        </w:rPr>
        <w:t>同类工程业绩应当设定为可量化评审因素。招标人可以对同类业绩设置1个指标要求，或者设置多个指标要求但仅需满足其中之一即可。指标仅限于工程规模、类似的特殊结构形式、类似的特殊施工工艺等方面，有关造价、面积、长度等规模性量化指标要求不得超过招标工程本身所对应的指标的2/3。</w:t>
      </w:r>
    </w:p>
    <w:p>
      <w:pPr>
        <w:shd w:val="clear" w:color="auto" w:fill="FFFFFF"/>
        <w:adjustRightInd w:val="0"/>
        <w:snapToGrid w:val="0"/>
        <w:spacing w:line="520" w:lineRule="exact"/>
        <w:ind w:firstLine="632"/>
        <w:jc w:val="both"/>
        <w:rPr>
          <w:rFonts w:ascii="仿宋_GB2312" w:hAnsi="楷体" w:eastAsia="仿宋_GB2312"/>
          <w:sz w:val="32"/>
          <w:szCs w:val="32"/>
        </w:rPr>
      </w:pPr>
      <w:bookmarkStart w:id="66" w:name="_Toc13008"/>
      <w:bookmarkStart w:id="67" w:name="_Toc20629"/>
      <w:r>
        <w:rPr>
          <w:rStyle w:val="16"/>
          <w:rFonts w:hint="eastAsia" w:cstheme="minorBidi"/>
          <w:szCs w:val="32"/>
        </w:rPr>
        <w:t>第二十七条</w:t>
      </w:r>
      <w:r>
        <w:rPr>
          <w:rStyle w:val="16"/>
          <w:rFonts w:cstheme="minorBidi"/>
          <w:szCs w:val="32"/>
        </w:rPr>
        <w:t>【</w:t>
      </w:r>
      <w:r>
        <w:rPr>
          <w:rStyle w:val="16"/>
          <w:rFonts w:hint="eastAsia" w:cstheme="minorBidi"/>
          <w:szCs w:val="32"/>
        </w:rPr>
        <w:t>业绩认定</w:t>
      </w:r>
      <w:r>
        <w:rPr>
          <w:rStyle w:val="16"/>
          <w:rFonts w:cstheme="minorBidi"/>
          <w:szCs w:val="32"/>
        </w:rPr>
        <w:t>】</w:t>
      </w:r>
      <w:bookmarkEnd w:id="66"/>
      <w:bookmarkEnd w:id="67"/>
      <w:r>
        <w:rPr>
          <w:rFonts w:hint="eastAsia" w:ascii="仿宋_GB2312" w:hAnsi="楷体" w:eastAsia="仿宋_GB2312"/>
          <w:sz w:val="32"/>
          <w:szCs w:val="32"/>
        </w:rPr>
        <w:t>同类工程业绩应当以住房城乡建设部全国建筑市场监管公共服务平台（以下简称“四库一平台”）公布的数据为准。招标人在招标文件或资格预审文件中除明确同类工程业绩要求由投标人（申请人）提供必要的佐证资料外，还应当要求投标人（申请人）提供四库一平台的查询截图作为评审依据。</w:t>
      </w:r>
    </w:p>
    <w:p>
      <w:pPr>
        <w:adjustRightInd w:val="0"/>
        <w:snapToGrid w:val="0"/>
        <w:spacing w:line="520" w:lineRule="exact"/>
        <w:ind w:firstLine="640"/>
        <w:jc w:val="both"/>
        <w:rPr>
          <w:rFonts w:ascii="仿宋_GB2312" w:hAnsi="楷体" w:eastAsia="仿宋_GB2312"/>
          <w:sz w:val="32"/>
          <w:szCs w:val="32"/>
        </w:rPr>
      </w:pPr>
      <w:bookmarkStart w:id="68" w:name="_Toc25160"/>
      <w:bookmarkStart w:id="69" w:name="_Toc4271"/>
      <w:r>
        <w:rPr>
          <w:rStyle w:val="16"/>
          <w:rFonts w:hint="eastAsia" w:cstheme="minorBidi"/>
          <w:szCs w:val="32"/>
        </w:rPr>
        <w:t>第二十八条【商务标初评】</w:t>
      </w:r>
      <w:bookmarkEnd w:id="68"/>
      <w:bookmarkEnd w:id="69"/>
      <w:r>
        <w:rPr>
          <w:rFonts w:hint="eastAsia" w:ascii="仿宋_GB2312" w:hAnsi="楷体" w:eastAsia="仿宋_GB2312"/>
          <w:sz w:val="32"/>
          <w:szCs w:val="32"/>
        </w:rPr>
        <w:t>商务标初步评审中，评标委员会应当对工程量差异、材料价差、取费高低、严重不平衡报价等因素进行评审，对通过初步评审的投标人进行商务标询标。</w:t>
      </w:r>
    </w:p>
    <w:p>
      <w:pPr>
        <w:adjustRightInd w:val="0"/>
        <w:snapToGrid w:val="0"/>
        <w:spacing w:line="520" w:lineRule="exact"/>
        <w:ind w:firstLine="643" w:firstLineChars="200"/>
        <w:jc w:val="both"/>
        <w:rPr>
          <w:rFonts w:ascii="仿宋_GB2312" w:hAnsi="楷体" w:eastAsia="仿宋_GB2312"/>
          <w:sz w:val="32"/>
          <w:szCs w:val="32"/>
        </w:rPr>
      </w:pPr>
      <w:bookmarkStart w:id="70" w:name="_Toc7082"/>
      <w:bookmarkStart w:id="71" w:name="_Toc32315"/>
      <w:r>
        <w:rPr>
          <w:rStyle w:val="16"/>
          <w:rFonts w:hint="eastAsia" w:cstheme="minorBidi"/>
          <w:szCs w:val="32"/>
        </w:rPr>
        <w:t>第二十九条【商务标询标】</w:t>
      </w:r>
      <w:bookmarkEnd w:id="70"/>
      <w:bookmarkEnd w:id="71"/>
      <w:r>
        <w:rPr>
          <w:rFonts w:hint="eastAsia" w:ascii="仿宋_GB2312" w:hAnsi="楷体" w:eastAsia="仿宋_GB2312"/>
          <w:sz w:val="32"/>
          <w:szCs w:val="32"/>
        </w:rPr>
        <w:t>商务标询标可以包括工程量清单总价、措施项目清单计价合计、分部分项工程项目清单计价合计、分部分项工程项目清单主要项目价格和主要材料价格等内容。招标人可以使用计算通过商务初评的投标人报价的算术平均值的方式确定询标基准，具体要求应当在招标文件中明确。</w:t>
      </w:r>
    </w:p>
    <w:p>
      <w:pPr>
        <w:adjustRightInd w:val="0"/>
        <w:snapToGrid w:val="0"/>
        <w:spacing w:line="520" w:lineRule="exact"/>
        <w:ind w:firstLine="643" w:firstLineChars="200"/>
        <w:jc w:val="both"/>
        <w:rPr>
          <w:rFonts w:ascii="仿宋_GB2312" w:hAnsi="楷体" w:eastAsia="仿宋_GB2312"/>
          <w:sz w:val="32"/>
          <w:szCs w:val="32"/>
        </w:rPr>
      </w:pPr>
      <w:bookmarkStart w:id="72" w:name="_Toc22474"/>
      <w:bookmarkStart w:id="73" w:name="_Toc20484"/>
      <w:bookmarkStart w:id="74" w:name="_Toc20251"/>
      <w:r>
        <w:rPr>
          <w:rStyle w:val="16"/>
          <w:rFonts w:hint="eastAsia" w:cstheme="minorBidi"/>
          <w:szCs w:val="32"/>
        </w:rPr>
        <w:t>第三十条</w:t>
      </w:r>
      <w:r>
        <w:rPr>
          <w:rStyle w:val="16"/>
          <w:rFonts w:cstheme="minorBidi"/>
          <w:szCs w:val="32"/>
        </w:rPr>
        <w:t>【</w:t>
      </w:r>
      <w:r>
        <w:rPr>
          <w:rStyle w:val="16"/>
          <w:rFonts w:hint="eastAsia" w:cstheme="minorBidi"/>
          <w:szCs w:val="32"/>
        </w:rPr>
        <w:t>商务标质询</w:t>
      </w:r>
      <w:r>
        <w:rPr>
          <w:rStyle w:val="16"/>
          <w:rFonts w:cstheme="minorBidi"/>
          <w:szCs w:val="32"/>
        </w:rPr>
        <w:t>】</w:t>
      </w:r>
      <w:bookmarkEnd w:id="72"/>
      <w:bookmarkEnd w:id="73"/>
      <w:bookmarkEnd w:id="74"/>
      <w:r>
        <w:rPr>
          <w:rFonts w:hint="eastAsia" w:ascii="仿宋_GB2312" w:hAnsi="楷体" w:eastAsia="仿宋_GB2312"/>
          <w:sz w:val="32"/>
          <w:szCs w:val="32"/>
        </w:rPr>
        <w:t>评标委员会认为投标报价组成不合理、投标报价计算错误的，应当向投标人质询，要求投标人作出书面澄清、说明。招标人应当在招标文件中明确投标报价与询标基准上下偏差幅度值。评标委员会应当对超出幅度值的投标报价向投标人进行质询，评审是否低于其成本。</w:t>
      </w:r>
    </w:p>
    <w:p>
      <w:pPr>
        <w:adjustRightInd w:val="0"/>
        <w:snapToGrid w:val="0"/>
        <w:spacing w:line="520" w:lineRule="exact"/>
        <w:ind w:firstLine="640" w:firstLineChars="200"/>
        <w:jc w:val="both"/>
        <w:rPr>
          <w:rFonts w:ascii="仿宋_GB2312" w:hAnsi="楷体" w:eastAsia="仿宋_GB2312"/>
          <w:sz w:val="32"/>
          <w:szCs w:val="32"/>
        </w:rPr>
      </w:pPr>
      <w:r>
        <w:rPr>
          <w:rFonts w:hint="eastAsia" w:ascii="仿宋_GB2312" w:hAnsi="楷体" w:eastAsia="仿宋_GB2312"/>
          <w:sz w:val="32"/>
          <w:szCs w:val="32"/>
        </w:rPr>
        <w:t>投标人澄清或说明不得超出投标文件的范围或者改变投标文件的实质性内容。投标人拒不澄清、说明，对投标报价不能合理说明或者不能提供相关证明材料的，评标委员会应当否决其投标。</w:t>
      </w:r>
    </w:p>
    <w:p>
      <w:pPr>
        <w:adjustRightInd w:val="0"/>
        <w:snapToGrid w:val="0"/>
        <w:spacing w:line="520" w:lineRule="exact"/>
        <w:ind w:firstLine="640"/>
        <w:jc w:val="both"/>
        <w:rPr>
          <w:rFonts w:ascii="仿宋_GB2312" w:hAnsi="楷体" w:eastAsia="仿宋_GB2312"/>
          <w:sz w:val="32"/>
          <w:szCs w:val="32"/>
        </w:rPr>
      </w:pPr>
      <w:bookmarkStart w:id="75" w:name="_Toc32121"/>
      <w:r>
        <w:rPr>
          <w:rStyle w:val="16"/>
          <w:rFonts w:hint="eastAsia" w:cstheme="minorBidi"/>
          <w:szCs w:val="32"/>
        </w:rPr>
        <w:t>第三十一条</w:t>
      </w:r>
      <w:r>
        <w:rPr>
          <w:rStyle w:val="16"/>
          <w:rFonts w:cstheme="minorBidi"/>
          <w:szCs w:val="32"/>
        </w:rPr>
        <w:t>【</w:t>
      </w:r>
      <w:r>
        <w:rPr>
          <w:rStyle w:val="16"/>
          <w:rFonts w:hint="eastAsia" w:cstheme="minorBidi"/>
          <w:szCs w:val="32"/>
        </w:rPr>
        <w:t>商务标评审</w:t>
      </w:r>
      <w:r>
        <w:rPr>
          <w:rStyle w:val="16"/>
          <w:rFonts w:cstheme="minorBidi"/>
          <w:szCs w:val="32"/>
        </w:rPr>
        <w:t>】</w:t>
      </w:r>
      <w:bookmarkEnd w:id="75"/>
      <w:r>
        <w:rPr>
          <w:rFonts w:hint="eastAsia" w:ascii="仿宋_GB2312" w:hAnsi="楷体" w:eastAsia="仿宋_GB2312"/>
          <w:sz w:val="32"/>
          <w:szCs w:val="32"/>
        </w:rPr>
        <w:t>通过商务标初步评审、询标的有效投标报价参与评标基准价计算。评标委员会应当按照招标文件中设定的评标基准价的计算方法、使用方法，对有效投标报价进行评审，计算商务标得分。有效投标报价的计算方法，可以参照附件。</w:t>
      </w:r>
    </w:p>
    <w:p>
      <w:pPr>
        <w:pStyle w:val="4"/>
        <w:spacing w:line="540" w:lineRule="exact"/>
        <w:jc w:val="center"/>
        <w:rPr>
          <w:rFonts w:ascii="黑体" w:hAnsi="黑体" w:eastAsia="黑体" w:cs="黑体"/>
          <w:b w:val="0"/>
          <w:bCs/>
          <w:sz w:val="32"/>
          <w:szCs w:val="32"/>
        </w:rPr>
      </w:pPr>
      <w:bookmarkStart w:id="76" w:name="_Toc16094"/>
      <w:bookmarkStart w:id="77" w:name="_Toc27274"/>
      <w:r>
        <w:rPr>
          <w:rFonts w:hint="eastAsia" w:ascii="黑体" w:hAnsi="黑体" w:eastAsia="黑体" w:cs="黑体"/>
          <w:b w:val="0"/>
          <w:bCs/>
          <w:sz w:val="32"/>
          <w:szCs w:val="32"/>
        </w:rPr>
        <w:t>第五章经评审的最低投标价法</w:t>
      </w:r>
      <w:bookmarkEnd w:id="76"/>
      <w:bookmarkEnd w:id="77"/>
    </w:p>
    <w:p>
      <w:pPr>
        <w:adjustRightInd w:val="0"/>
        <w:snapToGrid w:val="0"/>
        <w:spacing w:line="520" w:lineRule="exact"/>
        <w:ind w:firstLine="643" w:firstLineChars="200"/>
        <w:jc w:val="both"/>
        <w:rPr>
          <w:rFonts w:ascii="仿宋_GB2312" w:hAnsi="楷体" w:eastAsia="仿宋_GB2312"/>
          <w:sz w:val="32"/>
          <w:szCs w:val="32"/>
        </w:rPr>
      </w:pPr>
      <w:bookmarkStart w:id="78" w:name="_Toc2191"/>
      <w:bookmarkStart w:id="79" w:name="_Toc26991"/>
      <w:r>
        <w:rPr>
          <w:rStyle w:val="16"/>
          <w:rFonts w:hint="eastAsia" w:cstheme="minorBidi"/>
          <w:szCs w:val="32"/>
        </w:rPr>
        <w:t>第三十二条【经评审的最低投标价法】</w:t>
      </w:r>
      <w:bookmarkEnd w:id="78"/>
      <w:bookmarkEnd w:id="79"/>
      <w:r>
        <w:rPr>
          <w:rFonts w:hint="eastAsia" w:ascii="仿宋_GB2312" w:hAnsi="楷体" w:eastAsia="仿宋_GB2312"/>
          <w:sz w:val="32"/>
          <w:szCs w:val="32"/>
        </w:rPr>
        <w:t>经评审的最低投标价法是指评标委员会对通过资格审查、技术合格性评审的投标人进行商务标评审，按照招标文件的规定，推荐有效投标报价最低的投标人为中标候选人。</w:t>
      </w:r>
    </w:p>
    <w:p>
      <w:pPr>
        <w:adjustRightInd w:val="0"/>
        <w:snapToGrid w:val="0"/>
        <w:spacing w:line="520" w:lineRule="exact"/>
        <w:ind w:firstLine="643" w:firstLineChars="200"/>
        <w:jc w:val="both"/>
        <w:rPr>
          <w:rFonts w:ascii="仿宋_GB2312" w:hAnsi="楷体" w:eastAsia="仿宋_GB2312"/>
          <w:sz w:val="32"/>
          <w:szCs w:val="32"/>
        </w:rPr>
      </w:pPr>
      <w:bookmarkStart w:id="80" w:name="_Toc14632"/>
      <w:bookmarkStart w:id="81" w:name="_Toc6526"/>
      <w:r>
        <w:rPr>
          <w:rStyle w:val="16"/>
          <w:rFonts w:hint="eastAsia" w:cstheme="minorBidi"/>
          <w:szCs w:val="32"/>
        </w:rPr>
        <w:t>第三十三条【评标程序及内容】</w:t>
      </w:r>
      <w:bookmarkEnd w:id="80"/>
      <w:bookmarkEnd w:id="81"/>
      <w:r>
        <w:rPr>
          <w:rFonts w:hint="eastAsia" w:ascii="仿宋_GB2312" w:hAnsi="楷体" w:eastAsia="仿宋_GB2312"/>
          <w:sz w:val="32"/>
          <w:szCs w:val="32"/>
        </w:rPr>
        <w:t>经评审的最低投标价法的评标程序包括：评标准备，资格审查，技术标合格性评审，商务标初步评审、询标、详细评审，评审汇总出具评标报告。</w:t>
      </w:r>
    </w:p>
    <w:p>
      <w:pPr>
        <w:adjustRightInd w:val="0"/>
        <w:snapToGrid w:val="0"/>
        <w:spacing w:line="520" w:lineRule="exact"/>
        <w:ind w:firstLine="643" w:firstLineChars="200"/>
        <w:jc w:val="both"/>
        <w:rPr>
          <w:rFonts w:ascii="仿宋_GB2312" w:hAnsi="宋体" w:eastAsia="仿宋_GB2312"/>
          <w:sz w:val="32"/>
          <w:szCs w:val="32"/>
        </w:rPr>
      </w:pPr>
      <w:bookmarkStart w:id="82" w:name="_Toc30808"/>
      <w:bookmarkStart w:id="83" w:name="_Toc18612"/>
      <w:r>
        <w:rPr>
          <w:rStyle w:val="16"/>
          <w:rFonts w:hint="eastAsia" w:cstheme="minorBidi"/>
          <w:szCs w:val="32"/>
        </w:rPr>
        <w:t>第三十四条【技术标合格性评审】</w:t>
      </w:r>
      <w:bookmarkEnd w:id="82"/>
      <w:bookmarkEnd w:id="83"/>
      <w:r>
        <w:rPr>
          <w:rFonts w:hint="eastAsia" w:ascii="仿宋_GB2312" w:hAnsi="宋体" w:eastAsia="仿宋_GB2312"/>
          <w:sz w:val="32"/>
          <w:szCs w:val="32"/>
        </w:rPr>
        <w:t>招标人应当根据工程性质、技术特点及施工要求，在招标文件中明确技术标评审因素和合格标准。评标委员会按照招标文件规定的评标标准对投标人技术标进行评审，评审结果分为合格、不合格。各项评审因素如有一项不合格即为技术标不合格，评标委员会应当详述不合格理由并否决其投标。</w:t>
      </w:r>
    </w:p>
    <w:p>
      <w:pPr>
        <w:adjustRightInd w:val="0"/>
        <w:snapToGrid w:val="0"/>
        <w:spacing w:line="520" w:lineRule="exact"/>
        <w:ind w:firstLine="640"/>
        <w:jc w:val="both"/>
        <w:rPr>
          <w:rStyle w:val="16"/>
          <w:rFonts w:cstheme="minorBidi"/>
          <w:szCs w:val="32"/>
        </w:rPr>
      </w:pPr>
      <w:bookmarkStart w:id="84" w:name="_Toc21447"/>
      <w:bookmarkStart w:id="85" w:name="_Toc12824"/>
      <w:r>
        <w:rPr>
          <w:rStyle w:val="16"/>
          <w:rFonts w:hint="eastAsia" w:cstheme="minorBidi"/>
          <w:szCs w:val="32"/>
        </w:rPr>
        <w:t>第三十五条【商务标评审】</w:t>
      </w:r>
      <w:bookmarkEnd w:id="84"/>
    </w:p>
    <w:bookmarkEnd w:id="85"/>
    <w:p>
      <w:pPr>
        <w:adjustRightInd w:val="0"/>
        <w:snapToGrid w:val="0"/>
        <w:spacing w:line="520" w:lineRule="exact"/>
        <w:ind w:firstLine="640"/>
        <w:jc w:val="both"/>
        <w:rPr>
          <w:rFonts w:ascii="仿宋_GB2312" w:hAnsi="楷体" w:eastAsia="仿宋_GB2312"/>
          <w:sz w:val="32"/>
          <w:szCs w:val="32"/>
        </w:rPr>
      </w:pPr>
      <w:r>
        <w:rPr>
          <w:rFonts w:hint="eastAsia" w:ascii="仿宋_GB2312" w:hAnsi="楷体" w:eastAsia="仿宋_GB2312"/>
          <w:sz w:val="32"/>
          <w:szCs w:val="32"/>
        </w:rPr>
        <w:t>经评审的最低投标价法的商务标初评，商务询标、质询，与本办法第二十八、二十九、三十条规定一致。</w:t>
      </w:r>
    </w:p>
    <w:p>
      <w:pPr>
        <w:adjustRightInd w:val="0"/>
        <w:snapToGrid w:val="0"/>
        <w:spacing w:line="520" w:lineRule="exact"/>
        <w:ind w:firstLine="640"/>
        <w:jc w:val="both"/>
        <w:rPr>
          <w:rFonts w:ascii="仿宋_GB2312" w:hAnsi="楷体" w:eastAsia="仿宋_GB2312"/>
          <w:sz w:val="32"/>
          <w:szCs w:val="32"/>
        </w:rPr>
      </w:pPr>
      <w:r>
        <w:rPr>
          <w:rFonts w:hint="eastAsia" w:ascii="仿宋_GB2312" w:hAnsi="楷体" w:eastAsia="仿宋_GB2312"/>
          <w:sz w:val="32"/>
          <w:szCs w:val="32"/>
        </w:rPr>
        <w:t>通过商务标初步评审、询标的有效投标报价参与评标基准价计算。评标委员会应当按照招标文件中设定的评标基准价的计算方法、使用方法，对有效投标报价进行评审，由低到高排序。</w:t>
      </w:r>
    </w:p>
    <w:p>
      <w:pPr>
        <w:adjustRightInd w:val="0"/>
        <w:snapToGrid w:val="0"/>
        <w:spacing w:line="520" w:lineRule="exact"/>
        <w:ind w:firstLine="640"/>
        <w:jc w:val="both"/>
        <w:rPr>
          <w:rFonts w:ascii="仿宋_GB2312" w:hAnsi="楷体" w:eastAsia="仿宋_GB2312"/>
          <w:sz w:val="32"/>
          <w:szCs w:val="32"/>
        </w:rPr>
      </w:pPr>
      <w:r>
        <w:rPr>
          <w:rFonts w:hint="eastAsia" w:ascii="仿宋_GB2312" w:hAnsi="楷体" w:eastAsia="仿宋_GB2312"/>
          <w:sz w:val="32"/>
          <w:szCs w:val="32"/>
        </w:rPr>
        <w:t>通过商务标初步评审、询标的投标人不超过5名时，不计算评标基准价，直接对有效投标报价由低到高排序。</w:t>
      </w:r>
    </w:p>
    <w:p>
      <w:pPr>
        <w:pStyle w:val="4"/>
        <w:spacing w:line="540" w:lineRule="exact"/>
        <w:jc w:val="center"/>
        <w:rPr>
          <w:rFonts w:ascii="黑体" w:hAnsi="黑体" w:eastAsia="黑体" w:cs="黑体"/>
          <w:b w:val="0"/>
          <w:bCs/>
          <w:sz w:val="32"/>
          <w:szCs w:val="32"/>
        </w:rPr>
      </w:pPr>
      <w:bookmarkStart w:id="86" w:name="_Toc12607"/>
      <w:r>
        <w:rPr>
          <w:rFonts w:hint="eastAsia" w:ascii="黑体" w:hAnsi="黑体" w:eastAsia="黑体" w:cs="黑体"/>
          <w:b w:val="0"/>
          <w:bCs/>
          <w:sz w:val="32"/>
          <w:szCs w:val="32"/>
        </w:rPr>
        <w:t>第六章推荐中标候选人、定标及公示</w:t>
      </w:r>
      <w:bookmarkEnd w:id="86"/>
    </w:p>
    <w:p>
      <w:pPr>
        <w:adjustRightInd w:val="0"/>
        <w:snapToGrid w:val="0"/>
        <w:spacing w:line="520" w:lineRule="exact"/>
        <w:ind w:firstLine="640"/>
        <w:jc w:val="both"/>
        <w:rPr>
          <w:rFonts w:ascii="仿宋_GB2312" w:hAnsi="楷体" w:eastAsia="仿宋_GB2312"/>
          <w:sz w:val="32"/>
          <w:szCs w:val="32"/>
        </w:rPr>
      </w:pPr>
      <w:bookmarkStart w:id="87" w:name="_Toc14212"/>
      <w:r>
        <w:rPr>
          <w:rStyle w:val="16"/>
          <w:rFonts w:hint="eastAsia" w:cstheme="minorBidi"/>
          <w:szCs w:val="32"/>
        </w:rPr>
        <w:t>第三十六条【非评定分离推荐中标候选人】</w:t>
      </w:r>
      <w:bookmarkEnd w:id="87"/>
      <w:r>
        <w:rPr>
          <w:rFonts w:hint="eastAsia" w:ascii="仿宋_GB2312" w:hAnsi="楷体" w:eastAsia="仿宋_GB2312" w:cstheme="minorBidi"/>
          <w:kern w:val="2"/>
          <w:sz w:val="32"/>
          <w:szCs w:val="32"/>
        </w:rPr>
        <w:t>不采用评定</w:t>
      </w:r>
      <w:r>
        <w:rPr>
          <w:rFonts w:hint="eastAsia" w:ascii="仿宋_GB2312" w:hAnsi="楷体" w:eastAsia="仿宋_GB2312"/>
          <w:sz w:val="32"/>
          <w:szCs w:val="32"/>
        </w:rPr>
        <w:t>分离方式确定中标人的，评标委员会完成评标后应当向招标人提交书面评标报告和中标候选人名单，按照评审结果推荐不超过3名的中标候选人，并标明排序。</w:t>
      </w:r>
    </w:p>
    <w:p>
      <w:pPr>
        <w:adjustRightInd w:val="0"/>
        <w:snapToGrid w:val="0"/>
        <w:spacing w:line="520" w:lineRule="exact"/>
        <w:ind w:firstLine="640"/>
        <w:jc w:val="both"/>
        <w:rPr>
          <w:rFonts w:ascii="仿宋_GB2312" w:hAnsi="楷体" w:eastAsia="仿宋_GB2312" w:cstheme="minorBidi"/>
          <w:kern w:val="2"/>
          <w:sz w:val="32"/>
          <w:szCs w:val="32"/>
        </w:rPr>
      </w:pPr>
      <w:r>
        <w:rPr>
          <w:rFonts w:ascii="仿宋_GB2312" w:hAnsi="楷体" w:eastAsia="仿宋_GB2312"/>
          <w:sz w:val="32"/>
          <w:szCs w:val="32"/>
        </w:rPr>
        <w:t>招标人</w:t>
      </w:r>
      <w:r>
        <w:rPr>
          <w:rFonts w:hint="eastAsia" w:ascii="仿宋_GB2312" w:hAnsi="楷体" w:eastAsia="仿宋_GB2312"/>
          <w:sz w:val="32"/>
          <w:szCs w:val="32"/>
        </w:rPr>
        <w:t>应当确定排名第一的中标候选人为预中标人。排名第一的中标候选人放弃中标、因不可抗力不能履行合同、不按照招标文件要求提交履约保证金，或者被查实存在影响</w:t>
      </w:r>
      <w:r>
        <w:rPr>
          <w:rFonts w:hint="eastAsia" w:ascii="仿宋_GB2312" w:hAnsi="楷体" w:eastAsia="仿宋_GB2312" w:cstheme="minorBidi"/>
          <w:kern w:val="2"/>
          <w:sz w:val="32"/>
          <w:szCs w:val="32"/>
        </w:rPr>
        <w:t>中标结果的违法行为等情形，不符合中标条件的，招标人可以按照评标委员会提出的中标候选人名单排序依次确定其他中标候选人为预中标人，也可以重新招标。</w:t>
      </w:r>
    </w:p>
    <w:p>
      <w:pPr>
        <w:shd w:val="clear" w:color="auto" w:fill="FFFFFF"/>
        <w:snapToGrid w:val="0"/>
        <w:spacing w:line="520" w:lineRule="exact"/>
        <w:ind w:firstLine="643" w:firstLineChars="200"/>
        <w:jc w:val="both"/>
        <w:rPr>
          <w:rFonts w:ascii="仿宋_GB2312" w:hAnsi="宋体" w:eastAsia="仿宋_GB2312"/>
          <w:sz w:val="32"/>
          <w:szCs w:val="32"/>
        </w:rPr>
      </w:pPr>
      <w:bookmarkStart w:id="88" w:name="_Toc14452"/>
      <w:r>
        <w:rPr>
          <w:rStyle w:val="16"/>
          <w:rFonts w:hint="eastAsia" w:cstheme="minorBidi"/>
          <w:szCs w:val="32"/>
        </w:rPr>
        <w:t>第三十七条【评定分离推荐中标候选人】</w:t>
      </w:r>
      <w:bookmarkEnd w:id="88"/>
      <w:r>
        <w:rPr>
          <w:rFonts w:hint="eastAsia" w:ascii="仿宋_GB2312" w:hAnsi="宋体" w:eastAsia="仿宋_GB2312"/>
          <w:sz w:val="32"/>
          <w:szCs w:val="32"/>
        </w:rPr>
        <w:t>采用评定分离方式确定中标人的，</w:t>
      </w:r>
      <w:r>
        <w:rPr>
          <w:rFonts w:ascii="仿宋_GB2312" w:hAnsi="宋体" w:eastAsia="仿宋_GB2312"/>
          <w:sz w:val="32"/>
          <w:szCs w:val="32"/>
        </w:rPr>
        <w:t>评标委员会</w:t>
      </w:r>
      <w:r>
        <w:rPr>
          <w:rFonts w:hint="eastAsia" w:ascii="仿宋_GB2312" w:hAnsi="楷体" w:eastAsia="仿宋_GB2312" w:cstheme="minorBidi"/>
          <w:kern w:val="2"/>
          <w:sz w:val="32"/>
          <w:szCs w:val="32"/>
        </w:rPr>
        <w:t>完成评标后</w:t>
      </w:r>
      <w:r>
        <w:rPr>
          <w:rFonts w:hint="eastAsia" w:ascii="仿宋_GB2312" w:hAnsi="宋体" w:eastAsia="仿宋_GB2312"/>
          <w:sz w:val="32"/>
          <w:szCs w:val="32"/>
        </w:rPr>
        <w:t>应当</w:t>
      </w:r>
      <w:r>
        <w:rPr>
          <w:rFonts w:ascii="仿宋_GB2312" w:hAnsi="宋体" w:eastAsia="仿宋_GB2312"/>
          <w:sz w:val="32"/>
          <w:szCs w:val="32"/>
        </w:rPr>
        <w:t>向招标人提交书面评标报告</w:t>
      </w:r>
      <w:r>
        <w:rPr>
          <w:rFonts w:hint="eastAsia" w:ascii="仿宋_GB2312" w:hAnsi="宋体" w:eastAsia="仿宋_GB2312"/>
          <w:sz w:val="32"/>
          <w:szCs w:val="32"/>
        </w:rPr>
        <w:t>，</w:t>
      </w:r>
      <w:r>
        <w:rPr>
          <w:rFonts w:ascii="仿宋_GB2312" w:hAnsi="宋体" w:eastAsia="仿宋_GB2312"/>
          <w:sz w:val="32"/>
          <w:szCs w:val="32"/>
        </w:rPr>
        <w:t>推荐</w:t>
      </w:r>
      <w:r>
        <w:rPr>
          <w:rFonts w:hint="eastAsia" w:ascii="仿宋_GB2312" w:hAnsi="宋体" w:eastAsia="仿宋_GB2312"/>
          <w:sz w:val="32"/>
          <w:szCs w:val="32"/>
        </w:rPr>
        <w:t>3到7名不排序的</w:t>
      </w:r>
      <w:r>
        <w:rPr>
          <w:rFonts w:ascii="仿宋_GB2312" w:hAnsi="宋体" w:eastAsia="仿宋_GB2312"/>
          <w:sz w:val="32"/>
          <w:szCs w:val="32"/>
        </w:rPr>
        <w:t>中标候选人</w:t>
      </w:r>
      <w:r>
        <w:rPr>
          <w:rFonts w:hint="eastAsia" w:ascii="仿宋_GB2312" w:hAnsi="宋体" w:eastAsia="仿宋_GB2312"/>
          <w:sz w:val="32"/>
          <w:szCs w:val="32"/>
        </w:rPr>
        <w:t>，并提供对中标候选人投标文件的技术、质量、安全、工期的控制能力等因素的技术咨询建议。</w:t>
      </w:r>
    </w:p>
    <w:p>
      <w:pPr>
        <w:shd w:val="clear" w:color="auto" w:fill="FFFFFF"/>
        <w:snapToGrid w:val="0"/>
        <w:spacing w:line="520" w:lineRule="exact"/>
        <w:ind w:firstLine="640" w:firstLineChars="200"/>
        <w:jc w:val="both"/>
        <w:rPr>
          <w:rFonts w:ascii="仿宋_GB2312" w:hAnsi="宋体" w:eastAsia="仿宋_GB2312"/>
          <w:sz w:val="32"/>
          <w:szCs w:val="32"/>
        </w:rPr>
      </w:pPr>
      <w:r>
        <w:rPr>
          <w:rFonts w:ascii="仿宋_GB2312" w:hAnsi="宋体" w:eastAsia="仿宋_GB2312"/>
          <w:sz w:val="32"/>
          <w:szCs w:val="32"/>
        </w:rPr>
        <w:t>符合招标文件要求的合格投标人数量少于推荐中标候选人数量但不少于</w:t>
      </w:r>
      <w:r>
        <w:rPr>
          <w:rFonts w:hint="eastAsia" w:ascii="仿宋_GB2312" w:hAnsi="宋体" w:eastAsia="仿宋_GB2312"/>
          <w:sz w:val="32"/>
          <w:szCs w:val="32"/>
        </w:rPr>
        <w:t>3</w:t>
      </w:r>
      <w:r>
        <w:rPr>
          <w:rFonts w:ascii="仿宋_GB2312" w:hAnsi="宋体" w:eastAsia="仿宋_GB2312"/>
          <w:sz w:val="32"/>
          <w:szCs w:val="32"/>
        </w:rPr>
        <w:t>名时，全部推荐为中标候选人；数量少于</w:t>
      </w:r>
      <w:r>
        <w:rPr>
          <w:rFonts w:hint="eastAsia" w:ascii="仿宋_GB2312" w:hAnsi="宋体" w:eastAsia="仿宋_GB2312"/>
          <w:sz w:val="32"/>
          <w:szCs w:val="32"/>
        </w:rPr>
        <w:t>3</w:t>
      </w:r>
      <w:r>
        <w:rPr>
          <w:rFonts w:ascii="仿宋_GB2312" w:hAnsi="宋体" w:eastAsia="仿宋_GB2312"/>
          <w:sz w:val="32"/>
          <w:szCs w:val="32"/>
        </w:rPr>
        <w:t>名的，</w:t>
      </w:r>
      <w:r>
        <w:rPr>
          <w:rFonts w:hint="eastAsia" w:ascii="仿宋_GB2312" w:hAnsi="宋体" w:eastAsia="仿宋_GB2312"/>
          <w:sz w:val="32"/>
          <w:szCs w:val="32"/>
        </w:rPr>
        <w:t>应当</w:t>
      </w:r>
      <w:r>
        <w:rPr>
          <w:rFonts w:ascii="仿宋_GB2312" w:hAnsi="宋体" w:eastAsia="仿宋_GB2312"/>
          <w:sz w:val="32"/>
          <w:szCs w:val="32"/>
        </w:rPr>
        <w:t>重新招标。</w:t>
      </w:r>
    </w:p>
    <w:p>
      <w:pPr>
        <w:adjustRightInd w:val="0"/>
        <w:snapToGrid w:val="0"/>
        <w:spacing w:line="520" w:lineRule="exact"/>
        <w:ind w:firstLine="643" w:firstLineChars="200"/>
        <w:jc w:val="both"/>
        <w:rPr>
          <w:rFonts w:ascii="仿宋_GB2312" w:hAnsi="宋体" w:eastAsia="仿宋_GB2312"/>
          <w:sz w:val="32"/>
          <w:szCs w:val="32"/>
        </w:rPr>
      </w:pPr>
      <w:bookmarkStart w:id="89" w:name="_Toc18981"/>
      <w:bookmarkStart w:id="90" w:name="_Toc24257"/>
      <w:bookmarkStart w:id="91" w:name="_Toc23959"/>
      <w:bookmarkStart w:id="92" w:name="_Toc11274"/>
      <w:bookmarkStart w:id="93" w:name="_Toc4142"/>
      <w:r>
        <w:rPr>
          <w:rStyle w:val="16"/>
          <w:rFonts w:hint="eastAsia"/>
          <w:szCs w:val="32"/>
        </w:rPr>
        <w:t>第三十八条</w:t>
      </w:r>
      <w:bookmarkEnd w:id="89"/>
      <w:bookmarkStart w:id="94" w:name="_Toc4499"/>
      <w:r>
        <w:rPr>
          <w:rStyle w:val="16"/>
          <w:szCs w:val="32"/>
        </w:rPr>
        <w:t>【</w:t>
      </w:r>
      <w:r>
        <w:rPr>
          <w:rStyle w:val="16"/>
          <w:rFonts w:hint="eastAsia"/>
          <w:szCs w:val="32"/>
        </w:rPr>
        <w:t>评定分离决策机制</w:t>
      </w:r>
      <w:r>
        <w:rPr>
          <w:rStyle w:val="16"/>
          <w:szCs w:val="32"/>
        </w:rPr>
        <w:t>】</w:t>
      </w:r>
      <w:bookmarkEnd w:id="90"/>
      <w:bookmarkEnd w:id="91"/>
      <w:bookmarkEnd w:id="94"/>
      <w:r>
        <w:rPr>
          <w:rFonts w:hint="eastAsia" w:ascii="仿宋_GB2312" w:hAnsi="宋体" w:eastAsia="仿宋_GB2312"/>
          <w:sz w:val="32"/>
          <w:szCs w:val="32"/>
        </w:rPr>
        <w:t>招标人采用评定分离方式的，应当建立健全决策约束、回避、监督等内控机制，充分考虑报价情况和技术咨询建议，对招标过程及结果的合法性、合理性负责。</w:t>
      </w:r>
    </w:p>
    <w:p>
      <w:pPr>
        <w:adjustRightInd w:val="0"/>
        <w:snapToGrid w:val="0"/>
        <w:spacing w:line="520" w:lineRule="exact"/>
        <w:ind w:firstLine="643" w:firstLineChars="200"/>
        <w:jc w:val="both"/>
        <w:rPr>
          <w:rFonts w:ascii="仿宋_GB2312" w:hAnsi="宋体" w:eastAsia="仿宋_GB2312"/>
          <w:sz w:val="32"/>
          <w:szCs w:val="32"/>
        </w:rPr>
      </w:pPr>
      <w:bookmarkStart w:id="95" w:name="_Toc3272"/>
      <w:r>
        <w:rPr>
          <w:rStyle w:val="16"/>
          <w:rFonts w:hint="eastAsia"/>
          <w:szCs w:val="32"/>
        </w:rPr>
        <w:t>第三十九条【评定分离定标前考察】</w:t>
      </w:r>
      <w:bookmarkEnd w:id="92"/>
      <w:bookmarkEnd w:id="93"/>
      <w:bookmarkEnd w:id="95"/>
      <w:r>
        <w:rPr>
          <w:rFonts w:hint="eastAsia" w:ascii="仿宋_GB2312" w:hAnsi="宋体" w:eastAsia="仿宋_GB2312"/>
          <w:sz w:val="32"/>
          <w:szCs w:val="32"/>
        </w:rPr>
        <w:t>招标人收到评标报告后，在定标前，可以按招标文件规定自行组织对所有中标候选人进行考察并出具考察报告，作为定标委员会定标参考材料。</w:t>
      </w:r>
    </w:p>
    <w:p>
      <w:pPr>
        <w:adjustRightInd w:val="0"/>
        <w:snapToGrid w:val="0"/>
        <w:spacing w:line="520" w:lineRule="exact"/>
        <w:ind w:firstLine="643" w:firstLineChars="200"/>
        <w:jc w:val="both"/>
        <w:rPr>
          <w:rFonts w:ascii="仿宋_GB2312" w:hAnsi="仿宋_GB2312" w:eastAsia="仿宋_GB2312" w:cs="仿宋_GB2312"/>
          <w:sz w:val="32"/>
          <w:szCs w:val="32"/>
        </w:rPr>
      </w:pPr>
      <w:bookmarkStart w:id="96" w:name="_Toc8222"/>
      <w:bookmarkStart w:id="97" w:name="_Toc13310"/>
      <w:bookmarkStart w:id="98" w:name="_Toc13255"/>
      <w:r>
        <w:rPr>
          <w:rStyle w:val="16"/>
          <w:rFonts w:hint="eastAsia"/>
          <w:szCs w:val="32"/>
        </w:rPr>
        <w:t>第四十条</w:t>
      </w:r>
      <w:r>
        <w:rPr>
          <w:rStyle w:val="16"/>
          <w:szCs w:val="32"/>
        </w:rPr>
        <w:t>【</w:t>
      </w:r>
      <w:r>
        <w:rPr>
          <w:rStyle w:val="16"/>
          <w:rFonts w:hint="eastAsia"/>
          <w:szCs w:val="32"/>
        </w:rPr>
        <w:t>评定分离定标委员会</w:t>
      </w:r>
      <w:r>
        <w:rPr>
          <w:rStyle w:val="16"/>
          <w:szCs w:val="32"/>
        </w:rPr>
        <w:t>】</w:t>
      </w:r>
      <w:bookmarkEnd w:id="96"/>
      <w:bookmarkEnd w:id="97"/>
      <w:bookmarkEnd w:id="98"/>
      <w:r>
        <w:rPr>
          <w:rFonts w:hint="eastAsia" w:ascii="仿宋_GB2312" w:hAnsi="仿宋_GB2312" w:eastAsia="仿宋_GB2312" w:cs="仿宋_GB2312"/>
          <w:sz w:val="32"/>
          <w:szCs w:val="32"/>
        </w:rPr>
        <w:t>招标人应当在完成评标结果公示后的7个工作日内，在招标投标交易服务场所召开定标会。</w:t>
      </w:r>
    </w:p>
    <w:p>
      <w:pPr>
        <w:adjustRightInd w:val="0"/>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定标由招标人自行组建的定标委员会负责，定标委员会成员数量为5人以上单数。定标委员会成员应当从招标人的法定代表人或者主要负责人、工程技术人员中产生。</w:t>
      </w:r>
    </w:p>
    <w:p>
      <w:pPr>
        <w:adjustRightInd w:val="0"/>
        <w:snapToGrid w:val="0"/>
        <w:spacing w:line="520" w:lineRule="exact"/>
        <w:ind w:firstLine="643" w:firstLineChars="200"/>
        <w:jc w:val="both"/>
        <w:rPr>
          <w:rFonts w:ascii="仿宋_GB2312" w:hAnsi="仿宋_GB2312" w:eastAsia="仿宋_GB2312" w:cs="仿宋_GB2312"/>
          <w:sz w:val="32"/>
          <w:szCs w:val="32"/>
        </w:rPr>
      </w:pPr>
      <w:bookmarkStart w:id="99" w:name="_Toc5494"/>
      <w:bookmarkStart w:id="100" w:name="_Toc27959"/>
      <w:bookmarkStart w:id="101" w:name="_Toc19791"/>
      <w:r>
        <w:rPr>
          <w:rStyle w:val="16"/>
          <w:rFonts w:hint="eastAsia"/>
          <w:szCs w:val="32"/>
        </w:rPr>
        <w:t>第四十一条【评定分离定标方法】</w:t>
      </w:r>
      <w:bookmarkEnd w:id="99"/>
      <w:bookmarkEnd w:id="100"/>
      <w:bookmarkEnd w:id="101"/>
      <w:r>
        <w:rPr>
          <w:rFonts w:hint="eastAsia" w:ascii="仿宋_GB2312" w:hAnsi="仿宋_GB2312" w:eastAsia="仿宋_GB2312" w:cs="仿宋_GB2312"/>
          <w:sz w:val="32"/>
          <w:szCs w:val="32"/>
        </w:rPr>
        <w:t>招标人应当根据项目特点和实际，本着充分择优竞价的原则，合理制定定标标准和方法，并在招标文件中明确。</w:t>
      </w:r>
    </w:p>
    <w:p>
      <w:pPr>
        <w:adjustRightInd w:val="0"/>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定标方法可以采取价格竞争法、票决法、集体议事法或其他定标方法。</w:t>
      </w:r>
    </w:p>
    <w:p>
      <w:pPr>
        <w:adjustRightInd w:val="0"/>
        <w:snapToGrid w:val="0"/>
        <w:spacing w:line="520" w:lineRule="exact"/>
        <w:ind w:firstLine="645"/>
        <w:jc w:val="both"/>
        <w:rPr>
          <w:rFonts w:ascii="仿宋_GB2312" w:hAnsi="宋体" w:eastAsia="仿宋_GB2312"/>
          <w:sz w:val="32"/>
          <w:szCs w:val="32"/>
        </w:rPr>
      </w:pPr>
      <w:bookmarkStart w:id="102" w:name="_Toc20722"/>
      <w:bookmarkStart w:id="103" w:name="_Toc29266"/>
      <w:r>
        <w:rPr>
          <w:rStyle w:val="16"/>
          <w:rFonts w:hint="eastAsia"/>
          <w:szCs w:val="32"/>
        </w:rPr>
        <w:t>第四十二条【评定分离的预中标人确定】</w:t>
      </w:r>
      <w:bookmarkEnd w:id="102"/>
      <w:bookmarkEnd w:id="103"/>
      <w:r>
        <w:rPr>
          <w:rFonts w:hint="eastAsia" w:ascii="仿宋_GB2312" w:hAnsi="宋体" w:eastAsia="仿宋_GB2312"/>
          <w:sz w:val="32"/>
          <w:szCs w:val="32"/>
        </w:rPr>
        <w:t>定标委员会按照招标文件规定的定标方法和程序，对评标委员会推荐的中标候选人进行审查，推荐不超过3名排序的中标候选人并确定排名第一的为预中标人。</w:t>
      </w:r>
    </w:p>
    <w:p>
      <w:pPr>
        <w:adjustRightInd w:val="0"/>
        <w:snapToGrid w:val="0"/>
        <w:spacing w:line="520" w:lineRule="exact"/>
        <w:ind w:firstLine="645"/>
        <w:jc w:val="both"/>
        <w:rPr>
          <w:rFonts w:ascii="仿宋_GB2312" w:hAnsi="宋体" w:eastAsia="仿宋_GB2312"/>
          <w:sz w:val="32"/>
          <w:szCs w:val="32"/>
        </w:rPr>
      </w:pPr>
      <w:r>
        <w:rPr>
          <w:rFonts w:hint="eastAsia" w:ascii="仿宋_GB2312" w:hAnsi="宋体" w:eastAsia="仿宋_GB2312"/>
          <w:sz w:val="32"/>
          <w:szCs w:val="32"/>
        </w:rPr>
        <w:t>排名第一的中标候选人放弃中标、因不可抗力不能履行合同、不按照招标文件要求提交履约保证金，或者被查实存在影响中标结果的违法行为等情形，不符合中标条件的，招标人应当按照定标委员会推荐的中标候选人排序依次确定其他中标候选人为预中标人。定标委员会推荐的中标候选人均不符合中标条件时，招标人可采取原定标标准和方法，由原定标委员会按照本条规定重新进行推荐，也可以重新招标。</w:t>
      </w:r>
    </w:p>
    <w:p>
      <w:pPr>
        <w:adjustRightInd w:val="0"/>
        <w:snapToGrid w:val="0"/>
        <w:spacing w:line="520" w:lineRule="exact"/>
        <w:ind w:firstLine="643" w:firstLineChars="200"/>
        <w:jc w:val="both"/>
        <w:rPr>
          <w:rFonts w:ascii="仿宋_GB2312" w:eastAsia="仿宋_GB2312"/>
          <w:sz w:val="32"/>
          <w:szCs w:val="32"/>
        </w:rPr>
      </w:pPr>
      <w:bookmarkStart w:id="104" w:name="_Toc5875"/>
      <w:bookmarkStart w:id="105" w:name="_Toc27441"/>
      <w:r>
        <w:rPr>
          <w:rStyle w:val="16"/>
          <w:rFonts w:hint="eastAsia" w:cstheme="minorBidi"/>
          <w:szCs w:val="32"/>
        </w:rPr>
        <w:t>第四十三条【评标报告审核】</w:t>
      </w:r>
      <w:bookmarkEnd w:id="104"/>
      <w:r>
        <w:rPr>
          <w:rFonts w:hint="eastAsia" w:ascii="仿宋_GB2312" w:eastAsia="仿宋_GB2312"/>
          <w:sz w:val="32"/>
          <w:szCs w:val="32"/>
        </w:rPr>
        <w:t>招标人应当自收到评标报告3日内，对评标报告完成审核，发现评标报告存在错误的，有权要求评标委员会进行复核纠正。</w:t>
      </w:r>
    </w:p>
    <w:p>
      <w:pPr>
        <w:adjustRightInd w:val="0"/>
        <w:snapToGrid w:val="0"/>
        <w:spacing w:line="520" w:lineRule="exact"/>
        <w:ind w:firstLine="643" w:firstLineChars="200"/>
        <w:jc w:val="both"/>
        <w:rPr>
          <w:rFonts w:ascii="仿宋_GB2312" w:eastAsia="仿宋_GB2312"/>
          <w:sz w:val="32"/>
          <w:szCs w:val="32"/>
        </w:rPr>
      </w:pPr>
      <w:bookmarkStart w:id="106" w:name="_Toc25028"/>
      <w:r>
        <w:rPr>
          <w:rStyle w:val="16"/>
          <w:rFonts w:hint="eastAsia" w:cstheme="minorBidi"/>
          <w:szCs w:val="32"/>
        </w:rPr>
        <w:t>第四十四条【评标、定标结果公示】</w:t>
      </w:r>
      <w:bookmarkEnd w:id="105"/>
      <w:bookmarkEnd w:id="106"/>
      <w:r>
        <w:rPr>
          <w:rFonts w:hint="eastAsia" w:ascii="仿宋_GB2312" w:eastAsia="仿宋_GB2312"/>
          <w:sz w:val="32"/>
          <w:szCs w:val="32"/>
        </w:rPr>
        <w:t>招标人在评标报告审核完成后，及时对评标结果依法进行公示，公示期不得少于3个工作日。</w:t>
      </w:r>
    </w:p>
    <w:p>
      <w:pPr>
        <w:adjustRightInd w:val="0"/>
        <w:snapToGrid w:val="0"/>
        <w:spacing w:line="520" w:lineRule="exact"/>
        <w:ind w:firstLine="640" w:firstLineChars="200"/>
        <w:jc w:val="both"/>
        <w:rPr>
          <w:rFonts w:ascii="仿宋_GB2312" w:eastAsia="仿宋_GB2312"/>
          <w:sz w:val="32"/>
          <w:szCs w:val="32"/>
        </w:rPr>
      </w:pPr>
      <w:r>
        <w:rPr>
          <w:rFonts w:hint="eastAsia" w:ascii="仿宋_GB2312" w:eastAsia="仿宋_GB2312"/>
          <w:sz w:val="32"/>
          <w:szCs w:val="32"/>
        </w:rPr>
        <w:t>采用评定分离方式确定中标人的，招标人还应当在定标工作完成后3个工作日内公示定标结果，公示期不得少于3个工作日。</w:t>
      </w:r>
    </w:p>
    <w:p>
      <w:pPr>
        <w:adjustRightInd w:val="0"/>
        <w:snapToGrid w:val="0"/>
        <w:spacing w:line="520" w:lineRule="exact"/>
        <w:ind w:firstLine="643" w:firstLineChars="200"/>
        <w:jc w:val="both"/>
        <w:rPr>
          <w:rFonts w:ascii="仿宋_GB2312" w:eastAsia="仿宋_GB2312"/>
          <w:sz w:val="32"/>
          <w:szCs w:val="32"/>
        </w:rPr>
      </w:pPr>
      <w:bookmarkStart w:id="107" w:name="_Toc15396"/>
      <w:r>
        <w:rPr>
          <w:rStyle w:val="16"/>
          <w:rFonts w:hint="eastAsia" w:cstheme="minorBidi"/>
          <w:szCs w:val="32"/>
        </w:rPr>
        <w:t>第四十五条【公示异议】</w:t>
      </w:r>
      <w:bookmarkEnd w:id="107"/>
      <w:r>
        <w:rPr>
          <w:rFonts w:hint="eastAsia" w:ascii="仿宋_GB2312" w:eastAsia="仿宋_GB2312"/>
          <w:sz w:val="32"/>
          <w:szCs w:val="32"/>
        </w:rPr>
        <w:t>投标人或者其他利害关系人对评标结果公示有异议的，应当在评标结果公示期间提出；对定标结果公示有异议的，应当在定标结果公示期间提出。评标、定标结果公示期间，因异议或投诉导致中标候选人发生改变的，应当重新公示中标候选人。</w:t>
      </w:r>
    </w:p>
    <w:p>
      <w:pPr>
        <w:adjustRightInd w:val="0"/>
        <w:snapToGrid w:val="0"/>
        <w:spacing w:line="520" w:lineRule="exact"/>
        <w:ind w:firstLine="643" w:firstLineChars="200"/>
        <w:jc w:val="both"/>
        <w:rPr>
          <w:rFonts w:ascii="仿宋_GB2312" w:eastAsia="仿宋_GB2312"/>
          <w:sz w:val="32"/>
          <w:szCs w:val="32"/>
        </w:rPr>
      </w:pPr>
      <w:bookmarkStart w:id="108" w:name="_Toc3515"/>
      <w:bookmarkStart w:id="109" w:name="_Toc25677"/>
      <w:r>
        <w:rPr>
          <w:rStyle w:val="16"/>
          <w:rFonts w:hint="eastAsia" w:cstheme="minorBidi"/>
          <w:szCs w:val="32"/>
        </w:rPr>
        <w:t>第四十六条【中标结果公示】</w:t>
      </w:r>
      <w:bookmarkEnd w:id="108"/>
      <w:bookmarkEnd w:id="109"/>
      <w:r>
        <w:rPr>
          <w:rFonts w:hint="eastAsia" w:ascii="仿宋_GB2312" w:eastAsia="仿宋_GB2312"/>
          <w:sz w:val="32"/>
          <w:szCs w:val="32"/>
        </w:rPr>
        <w:t>中标人确定后，招标人应当向中标人发出中标通知书，同时将中标结果进行公示，中标公示内容包括中标人名称、中标价格和项目负责人信息等内容。</w:t>
      </w:r>
    </w:p>
    <w:p>
      <w:pPr>
        <w:pStyle w:val="4"/>
        <w:spacing w:line="540" w:lineRule="exact"/>
        <w:jc w:val="center"/>
        <w:rPr>
          <w:rFonts w:ascii="黑体" w:hAnsi="黑体" w:eastAsia="黑体" w:cs="黑体"/>
          <w:b w:val="0"/>
          <w:bCs/>
          <w:sz w:val="32"/>
          <w:szCs w:val="32"/>
        </w:rPr>
      </w:pPr>
      <w:bookmarkStart w:id="110" w:name="_Toc831"/>
      <w:bookmarkStart w:id="111" w:name="_Toc3376"/>
      <w:r>
        <w:rPr>
          <w:rFonts w:hint="eastAsia" w:ascii="黑体" w:hAnsi="黑体" w:eastAsia="黑体" w:cs="黑体"/>
          <w:b w:val="0"/>
          <w:bCs/>
          <w:sz w:val="32"/>
          <w:szCs w:val="32"/>
        </w:rPr>
        <w:t>第七章附则</w:t>
      </w:r>
      <w:bookmarkEnd w:id="110"/>
      <w:bookmarkEnd w:id="111"/>
    </w:p>
    <w:p>
      <w:pPr>
        <w:adjustRightInd w:val="0"/>
        <w:snapToGrid w:val="0"/>
        <w:spacing w:line="520" w:lineRule="exact"/>
        <w:ind w:firstLine="643" w:firstLineChars="200"/>
        <w:rPr>
          <w:rFonts w:ascii="仿宋_GB2312" w:eastAsia="仿宋_GB2312"/>
          <w:sz w:val="32"/>
          <w:szCs w:val="32"/>
        </w:rPr>
      </w:pPr>
      <w:bookmarkStart w:id="112" w:name="_Toc32397"/>
      <w:bookmarkStart w:id="113" w:name="_Toc19794"/>
      <w:r>
        <w:rPr>
          <w:rStyle w:val="16"/>
          <w:rFonts w:hint="eastAsia" w:cstheme="minorBidi"/>
          <w:szCs w:val="32"/>
        </w:rPr>
        <w:t>第四十七条【施行】</w:t>
      </w:r>
      <w:bookmarkEnd w:id="112"/>
      <w:bookmarkEnd w:id="113"/>
      <w:r>
        <w:rPr>
          <w:rFonts w:hint="eastAsia" w:ascii="仿宋_GB2312" w:eastAsia="仿宋_GB2312"/>
          <w:sz w:val="32"/>
          <w:szCs w:val="32"/>
        </w:rPr>
        <w:t>本办法自**年**月**日起施行，有效期**年。《市建设交通委关于调整施工招标评标办法的通知》（津建招标〔2013〕776号）《市建委关于印发施工招标评标办法适用范围的通知》（津建招标〔2014〕459号）同时废止。</w:t>
      </w:r>
    </w:p>
    <w:p>
      <w:pPr>
        <w:pStyle w:val="2"/>
        <w:spacing w:line="520" w:lineRule="exact"/>
        <w:rPr>
          <w:rFonts w:ascii="仿宋_GB2312" w:eastAsia="仿宋_GB2312"/>
          <w:sz w:val="32"/>
          <w:szCs w:val="32"/>
        </w:rPr>
      </w:pPr>
    </w:p>
    <w:p>
      <w:pPr>
        <w:pStyle w:val="3"/>
        <w:spacing w:line="520" w:lineRule="exact"/>
        <w:ind w:firstLine="320"/>
        <w:rPr>
          <w:rFonts w:ascii="仿宋_GB2312" w:eastAsia="仿宋_GB2312"/>
          <w:sz w:val="32"/>
          <w:szCs w:val="32"/>
        </w:rPr>
      </w:pPr>
      <w:r>
        <w:rPr>
          <w:rFonts w:hint="eastAsia" w:ascii="仿宋_GB2312" w:eastAsia="仿宋_GB2312"/>
          <w:sz w:val="32"/>
          <w:szCs w:val="32"/>
        </w:rPr>
        <w:t>附件1：评标方法操作指引</w:t>
      </w:r>
    </w:p>
    <w:p>
      <w:pPr>
        <w:pStyle w:val="3"/>
        <w:spacing w:line="520" w:lineRule="exact"/>
        <w:ind w:firstLine="320"/>
      </w:pPr>
      <w:r>
        <w:rPr>
          <w:rFonts w:hint="eastAsia" w:ascii="仿宋_GB2312" w:eastAsia="仿宋_GB2312"/>
          <w:sz w:val="32"/>
          <w:szCs w:val="32"/>
        </w:rPr>
        <w:t>附件2：评定分离操作指引</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044B0C5-5874-46ED-A68E-D4B823696DA4}"/>
  </w:font>
  <w:font w:name="黑体">
    <w:panose1 w:val="02010609060101010101"/>
    <w:charset w:val="86"/>
    <w:family w:val="auto"/>
    <w:pitch w:val="default"/>
    <w:sig w:usb0="800002BF" w:usb1="38CF7CFA" w:usb2="00000016" w:usb3="00000000" w:csb0="00040001" w:csb1="00000000"/>
    <w:embedRegular r:id="rId2" w:fontKey="{975C155A-66B7-46C7-9216-4A116CECBD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altName w:val="微软雅黑"/>
    <w:panose1 w:val="00000000000000000000"/>
    <w:charset w:val="86"/>
    <w:family w:val="auto"/>
    <w:pitch w:val="default"/>
    <w:sig w:usb0="00000000" w:usb1="00000000" w:usb2="00000016" w:usb3="00000000" w:csb0="00040001" w:csb1="00000000"/>
    <w:embedRegular r:id="rId3" w:fontKey="{AEF4FF3A-D483-4955-94C2-6F18E94C3283}"/>
  </w:font>
  <w:font w:name="方正小标宋简体">
    <w:panose1 w:val="03000509000000000000"/>
    <w:charset w:val="86"/>
    <w:family w:val="auto"/>
    <w:pitch w:val="default"/>
    <w:sig w:usb0="00000001" w:usb1="080E0000" w:usb2="00000000" w:usb3="00000000" w:csb0="00040000" w:csb1="00000000"/>
    <w:embedRegular r:id="rId4" w:fontKey="{D29C47B3-7CB3-4548-A0CD-A72C1948ABA9}"/>
  </w:font>
  <w:font w:name="Cambria">
    <w:panose1 w:val="02040503050406030204"/>
    <w:charset w:val="00"/>
    <w:family w:val="roman"/>
    <w:pitch w:val="default"/>
    <w:sig w:usb0="E00006FF" w:usb1="420024FF" w:usb2="02000000" w:usb3="00000000" w:csb0="2000019F" w:csb1="00000000"/>
    <w:embedRegular r:id="rId5" w:fontKey="{95EC5B02-98B1-40E1-9E62-4D9880EE0A86}"/>
  </w:font>
  <w:font w:name="仿宋_GB2312">
    <w:panose1 w:val="02010609030101010101"/>
    <w:charset w:val="86"/>
    <w:family w:val="modern"/>
    <w:pitch w:val="default"/>
    <w:sig w:usb0="00000001" w:usb1="080E0000" w:usb2="00000000" w:usb3="00000000" w:csb0="00040000" w:csb1="00000000"/>
    <w:embedRegular r:id="rId6" w:fontKey="{9F709E0A-AD0C-4F27-BE26-85FFDBA849C2}"/>
  </w:font>
  <w:font w:name="Microsoft YaHei UI">
    <w:panose1 w:val="020B0503020204020204"/>
    <w:charset w:val="86"/>
    <w:family w:val="swiss"/>
    <w:pitch w:val="default"/>
    <w:sig w:usb0="80000287" w:usb1="2ACF3C50" w:usb2="00000016" w:usb3="00000000" w:csb0="0004001F" w:csb1="00000000"/>
    <w:embedRegular r:id="rId7" w:fontKey="{185EB832-D20D-43E6-B5E6-686EDDB2B1A2}"/>
  </w:font>
  <w:font w:name="楷体">
    <w:panose1 w:val="02010609060101010101"/>
    <w:charset w:val="86"/>
    <w:family w:val="modern"/>
    <w:pitch w:val="default"/>
    <w:sig w:usb0="800002BF" w:usb1="38CF7CFA" w:usb2="00000016" w:usb3="00000000" w:csb0="00040001" w:csb1="00000000"/>
    <w:embedRegular r:id="rId8" w:fontKey="{80296995-E47C-4D69-8F5C-75837EADE9DE}"/>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Y2VmNGEyZGU5YzNjMTE3ZmQ5NzhkM2U4MWQzMmQxNzAifQ=="/>
  </w:docVars>
  <w:rsids>
    <w:rsidRoot w:val="16EB4186"/>
    <w:rsid w:val="0002337C"/>
    <w:rsid w:val="0004202B"/>
    <w:rsid w:val="0006302F"/>
    <w:rsid w:val="000F2089"/>
    <w:rsid w:val="001566C8"/>
    <w:rsid w:val="00201D27"/>
    <w:rsid w:val="002F1B9B"/>
    <w:rsid w:val="002F7E01"/>
    <w:rsid w:val="0030633F"/>
    <w:rsid w:val="0034370D"/>
    <w:rsid w:val="003A1EB2"/>
    <w:rsid w:val="003B6541"/>
    <w:rsid w:val="004C23A5"/>
    <w:rsid w:val="005022E8"/>
    <w:rsid w:val="00504971"/>
    <w:rsid w:val="00524B60"/>
    <w:rsid w:val="00525D95"/>
    <w:rsid w:val="0073603B"/>
    <w:rsid w:val="00764BC7"/>
    <w:rsid w:val="00776B6C"/>
    <w:rsid w:val="0086345C"/>
    <w:rsid w:val="00893A25"/>
    <w:rsid w:val="008E74AA"/>
    <w:rsid w:val="00987947"/>
    <w:rsid w:val="009F1040"/>
    <w:rsid w:val="00A07E15"/>
    <w:rsid w:val="00A27FEE"/>
    <w:rsid w:val="00A649E5"/>
    <w:rsid w:val="00AB3073"/>
    <w:rsid w:val="00C337F4"/>
    <w:rsid w:val="00C34B1F"/>
    <w:rsid w:val="00CE0295"/>
    <w:rsid w:val="00CF2D36"/>
    <w:rsid w:val="00D13565"/>
    <w:rsid w:val="00DA16E8"/>
    <w:rsid w:val="00DA1D16"/>
    <w:rsid w:val="00DF3C03"/>
    <w:rsid w:val="00E53FEE"/>
    <w:rsid w:val="00EF3253"/>
    <w:rsid w:val="00F03ABD"/>
    <w:rsid w:val="00F249AB"/>
    <w:rsid w:val="00FD2CD1"/>
    <w:rsid w:val="00FF2CF4"/>
    <w:rsid w:val="01B57C21"/>
    <w:rsid w:val="02671CA1"/>
    <w:rsid w:val="02834C50"/>
    <w:rsid w:val="029167E5"/>
    <w:rsid w:val="0454399B"/>
    <w:rsid w:val="086724C2"/>
    <w:rsid w:val="087B7D1C"/>
    <w:rsid w:val="091F0FEF"/>
    <w:rsid w:val="0A3D172D"/>
    <w:rsid w:val="0B1667CF"/>
    <w:rsid w:val="0E407A3D"/>
    <w:rsid w:val="0F0A2760"/>
    <w:rsid w:val="0FD74376"/>
    <w:rsid w:val="0FFF254C"/>
    <w:rsid w:val="10BD35C7"/>
    <w:rsid w:val="117479FE"/>
    <w:rsid w:val="12D45A79"/>
    <w:rsid w:val="13AF4D1D"/>
    <w:rsid w:val="16321C77"/>
    <w:rsid w:val="16EB4186"/>
    <w:rsid w:val="1740460A"/>
    <w:rsid w:val="181B5077"/>
    <w:rsid w:val="18B40D46"/>
    <w:rsid w:val="197902A7"/>
    <w:rsid w:val="1B682381"/>
    <w:rsid w:val="1D45336B"/>
    <w:rsid w:val="1ED16490"/>
    <w:rsid w:val="1EF54BEB"/>
    <w:rsid w:val="221B014E"/>
    <w:rsid w:val="227123D7"/>
    <w:rsid w:val="22BD1205"/>
    <w:rsid w:val="24174945"/>
    <w:rsid w:val="265062C0"/>
    <w:rsid w:val="27CC2727"/>
    <w:rsid w:val="27FD02F5"/>
    <w:rsid w:val="2A2E29E8"/>
    <w:rsid w:val="2E310CF9"/>
    <w:rsid w:val="2F1F5333"/>
    <w:rsid w:val="30E66F8A"/>
    <w:rsid w:val="32244E1E"/>
    <w:rsid w:val="32951856"/>
    <w:rsid w:val="33704071"/>
    <w:rsid w:val="34CE205D"/>
    <w:rsid w:val="351A06FB"/>
    <w:rsid w:val="351E2CD3"/>
    <w:rsid w:val="35A34E37"/>
    <w:rsid w:val="370A20E7"/>
    <w:rsid w:val="37636C46"/>
    <w:rsid w:val="385B69BE"/>
    <w:rsid w:val="38812032"/>
    <w:rsid w:val="38B467AE"/>
    <w:rsid w:val="392576AC"/>
    <w:rsid w:val="3B4756B8"/>
    <w:rsid w:val="3BD42201"/>
    <w:rsid w:val="3D962926"/>
    <w:rsid w:val="3E921340"/>
    <w:rsid w:val="3EBE2135"/>
    <w:rsid w:val="402877E0"/>
    <w:rsid w:val="40906885"/>
    <w:rsid w:val="41391F47"/>
    <w:rsid w:val="41C757A4"/>
    <w:rsid w:val="443F7874"/>
    <w:rsid w:val="44BF70D9"/>
    <w:rsid w:val="4513485D"/>
    <w:rsid w:val="45611A6C"/>
    <w:rsid w:val="457E3A30"/>
    <w:rsid w:val="473A2575"/>
    <w:rsid w:val="48F6071D"/>
    <w:rsid w:val="4A0A26D2"/>
    <w:rsid w:val="4A5D0A54"/>
    <w:rsid w:val="4D086EF0"/>
    <w:rsid w:val="4D6640C3"/>
    <w:rsid w:val="4E3221F7"/>
    <w:rsid w:val="4F9744EC"/>
    <w:rsid w:val="50086081"/>
    <w:rsid w:val="50ED2406"/>
    <w:rsid w:val="527F4767"/>
    <w:rsid w:val="535B4603"/>
    <w:rsid w:val="538232D9"/>
    <w:rsid w:val="54505070"/>
    <w:rsid w:val="57641F8B"/>
    <w:rsid w:val="57F24B59"/>
    <w:rsid w:val="58C71526"/>
    <w:rsid w:val="5A72688B"/>
    <w:rsid w:val="5C58107B"/>
    <w:rsid w:val="5CFD62C3"/>
    <w:rsid w:val="5DCF7A63"/>
    <w:rsid w:val="5E070FAB"/>
    <w:rsid w:val="5F73582A"/>
    <w:rsid w:val="5F7C1E0C"/>
    <w:rsid w:val="61A46B11"/>
    <w:rsid w:val="639C2195"/>
    <w:rsid w:val="645E569D"/>
    <w:rsid w:val="64970BAF"/>
    <w:rsid w:val="64DA2918"/>
    <w:rsid w:val="655D4AA7"/>
    <w:rsid w:val="67780823"/>
    <w:rsid w:val="67A315C2"/>
    <w:rsid w:val="69C70DF2"/>
    <w:rsid w:val="69DF196D"/>
    <w:rsid w:val="6A445335"/>
    <w:rsid w:val="6A9C2A7B"/>
    <w:rsid w:val="6B552FA7"/>
    <w:rsid w:val="6EB56801"/>
    <w:rsid w:val="6F6872BA"/>
    <w:rsid w:val="6F914B78"/>
    <w:rsid w:val="70BB55B9"/>
    <w:rsid w:val="72161365"/>
    <w:rsid w:val="722021E3"/>
    <w:rsid w:val="72397D7C"/>
    <w:rsid w:val="73025EB3"/>
    <w:rsid w:val="761F4030"/>
    <w:rsid w:val="762229CE"/>
    <w:rsid w:val="762A0487"/>
    <w:rsid w:val="766B2934"/>
    <w:rsid w:val="77FE44F9"/>
    <w:rsid w:val="782D565A"/>
    <w:rsid w:val="78F251B4"/>
    <w:rsid w:val="78F82A4C"/>
    <w:rsid w:val="7A1563A6"/>
    <w:rsid w:val="7AC43532"/>
    <w:rsid w:val="7CBD7044"/>
    <w:rsid w:val="7D375826"/>
    <w:rsid w:val="7D4A280A"/>
    <w:rsid w:val="7F2A46A1"/>
    <w:rsid w:val="7F517B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cs="Times New Roman" w:asciiTheme="minorHAnsi" w:hAnsiTheme="minorHAnsi" w:eastAsiaTheme="minorEastAsia"/>
      <w:sz w:val="24"/>
      <w:szCs w:val="24"/>
      <w:lang w:val="en-US" w:eastAsia="zh-CN" w:bidi="ar-SA"/>
    </w:rPr>
  </w:style>
  <w:style w:type="paragraph" w:styleId="4">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5">
    <w:name w:val="heading 2"/>
    <w:basedOn w:val="1"/>
    <w:next w:val="1"/>
    <w:link w:val="16"/>
    <w:qFormat/>
    <w:uiPriority w:val="0"/>
    <w:pPr>
      <w:keepNext/>
      <w:keepLines/>
      <w:spacing w:before="260" w:after="260" w:line="413" w:lineRule="auto"/>
      <w:outlineLvl w:val="1"/>
    </w:pPr>
    <w:rPr>
      <w:rFonts w:ascii="Arial" w:hAnsi="Arial" w:eastAsia="黑体"/>
      <w:b/>
      <w:sz w:val="32"/>
      <w:szCs w:val="20"/>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2"/>
    <w:qFormat/>
    <w:uiPriority w:val="0"/>
    <w:pPr>
      <w:ind w:firstLine="420" w:firstLineChars="100"/>
    </w:pPr>
    <w:rPr>
      <w:sz w:val="30"/>
    </w:rPr>
  </w:style>
  <w:style w:type="paragraph" w:styleId="6">
    <w:name w:val="annotation text"/>
    <w:basedOn w:val="1"/>
    <w:qFormat/>
    <w:uiPriority w:val="0"/>
  </w:style>
  <w:style w:type="paragraph" w:styleId="7">
    <w:name w:val="Date"/>
    <w:basedOn w:val="1"/>
    <w:next w:val="1"/>
    <w:link w:val="22"/>
    <w:qFormat/>
    <w:uiPriority w:val="0"/>
    <w:pPr>
      <w:ind w:left="100" w:leftChars="2500"/>
    </w:pPr>
  </w:style>
  <w:style w:type="paragraph" w:styleId="8">
    <w:name w:val="Balloon Text"/>
    <w:basedOn w:val="1"/>
    <w:link w:val="21"/>
    <w:qFormat/>
    <w:uiPriority w:val="0"/>
    <w:rPr>
      <w:sz w:val="18"/>
      <w:szCs w:val="18"/>
    </w:rPr>
  </w:style>
  <w:style w:type="paragraph" w:styleId="9">
    <w:name w:val="footer"/>
    <w:basedOn w:val="1"/>
    <w:link w:val="20"/>
    <w:qFormat/>
    <w:uiPriority w:val="0"/>
    <w:pPr>
      <w:tabs>
        <w:tab w:val="center" w:pos="4153"/>
        <w:tab w:val="right" w:pos="8306"/>
      </w:tabs>
      <w:snapToGrid w:val="0"/>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0"/>
    <w:pPr>
      <w:spacing w:beforeAutospacing="1" w:afterAutospacing="1"/>
    </w:pPr>
  </w:style>
  <w:style w:type="character" w:customStyle="1" w:styleId="16">
    <w:name w:val="标题 2 Char"/>
    <w:link w:val="5"/>
    <w:qFormat/>
    <w:uiPriority w:val="0"/>
    <w:rPr>
      <w:rFonts w:ascii="Arial" w:hAnsi="Arial" w:eastAsia="黑体"/>
      <w:b/>
      <w:kern w:val="0"/>
      <w:sz w:val="32"/>
      <w:szCs w:val="20"/>
    </w:rPr>
  </w:style>
  <w:style w:type="paragraph" w:customStyle="1" w:styleId="17">
    <w:name w:val="WPSOffice手动目录 1"/>
    <w:qFormat/>
    <w:uiPriority w:val="0"/>
    <w:rPr>
      <w:rFonts w:ascii="Times New Roman" w:hAnsi="Times New Roman" w:eastAsia="宋体" w:cs="Times New Roman"/>
      <w:lang w:val="en-US" w:eastAsia="zh-CN" w:bidi="ar-SA"/>
    </w:rPr>
  </w:style>
  <w:style w:type="paragraph" w:customStyle="1" w:styleId="1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9">
    <w:name w:val="页眉 Char"/>
    <w:basedOn w:val="15"/>
    <w:link w:val="10"/>
    <w:qFormat/>
    <w:uiPriority w:val="0"/>
    <w:rPr>
      <w:rFonts w:asciiTheme="minorHAnsi" w:hAnsiTheme="minorHAnsi" w:eastAsiaTheme="minorEastAsia"/>
      <w:sz w:val="18"/>
      <w:szCs w:val="18"/>
    </w:rPr>
  </w:style>
  <w:style w:type="character" w:customStyle="1" w:styleId="20">
    <w:name w:val="页脚 Char"/>
    <w:basedOn w:val="15"/>
    <w:link w:val="9"/>
    <w:qFormat/>
    <w:uiPriority w:val="0"/>
    <w:rPr>
      <w:rFonts w:asciiTheme="minorHAnsi" w:hAnsiTheme="minorHAnsi" w:eastAsiaTheme="minorEastAsia"/>
      <w:sz w:val="18"/>
      <w:szCs w:val="18"/>
    </w:rPr>
  </w:style>
  <w:style w:type="character" w:customStyle="1" w:styleId="21">
    <w:name w:val="批注框文本 Char"/>
    <w:basedOn w:val="15"/>
    <w:link w:val="8"/>
    <w:qFormat/>
    <w:uiPriority w:val="0"/>
    <w:rPr>
      <w:rFonts w:asciiTheme="minorHAnsi" w:hAnsiTheme="minorHAnsi" w:eastAsiaTheme="minorEastAsia"/>
      <w:sz w:val="18"/>
      <w:szCs w:val="18"/>
    </w:rPr>
  </w:style>
  <w:style w:type="character" w:customStyle="1" w:styleId="22">
    <w:name w:val="日期 Char"/>
    <w:basedOn w:val="15"/>
    <w:link w:val="7"/>
    <w:uiPriority w:val="0"/>
    <w:rPr>
      <w:rFonts w:asciiTheme="minorHAnsi" w:hAnsiTheme="minorHAnsi" w:eastAsiaTheme="minorEastAsia"/>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DEBC8"/>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BFBEF-B7C0-41CC-ABAA-5D726DB05D1E}">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6437</Words>
  <Characters>6490</Characters>
  <Lines>73</Lines>
  <Paragraphs>20</Paragraphs>
  <TotalTime>3</TotalTime>
  <ScaleCrop>false</ScaleCrop>
  <LinksUpToDate>false</LinksUpToDate>
  <CharactersWithSpaces>6490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2024-06-10T13:07:00Z</dcterms:created>
  <dc:creator>Y</dc:creator>
  <cp:lastModifiedBy>李静1</cp:lastModifiedBy>
  <dcterms:modified xsi:type="dcterms:W3CDTF">2024-07-11T08:26:17Z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9A6796D2774143E2A837427483431DDD_13</vt:lpwstr>
  </property>
</Properties>
</file>